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B6E" w:rsidRPr="000B4B6E" w:rsidRDefault="000B4B6E" w:rsidP="000B4B6E">
      <w:pPr>
        <w:shd w:val="clear" w:color="auto" w:fill="FFFFFF"/>
        <w:jc w:val="center"/>
        <w:rPr>
          <w:rFonts w:ascii="Georgia" w:eastAsia="Times New Roman" w:hAnsi="Georgia" w:cs="Times New Roman"/>
          <w:color w:val="000000"/>
        </w:rPr>
      </w:pPr>
      <w:r w:rsidRPr="000B4B6E">
        <w:rPr>
          <w:rFonts w:ascii="Georgia" w:eastAsia="Times New Roman" w:hAnsi="Georgia" w:cs="Times New Roman"/>
          <w:color w:val="000000"/>
        </w:rPr>
        <w:t>112 S.Ct. 2348</w:t>
      </w:r>
    </w:p>
    <w:p w:rsidR="000B4B6E" w:rsidRPr="000B4B6E" w:rsidRDefault="000B4B6E" w:rsidP="000B4B6E">
      <w:pPr>
        <w:shd w:val="clear" w:color="auto" w:fill="FFFFFF"/>
        <w:jc w:val="center"/>
        <w:rPr>
          <w:rFonts w:ascii="Georgia" w:eastAsia="Times New Roman" w:hAnsi="Georgia" w:cs="Times New Roman"/>
          <w:color w:val="000000"/>
        </w:rPr>
      </w:pPr>
      <w:r w:rsidRPr="000B4B6E">
        <w:rPr>
          <w:rFonts w:ascii="Georgia" w:eastAsia="Times New Roman" w:hAnsi="Georgia" w:cs="Times New Roman"/>
          <w:color w:val="000000"/>
        </w:rPr>
        <w:t>Supreme Court of the United States</w:t>
      </w:r>
    </w:p>
    <w:p w:rsidR="000B4B6E" w:rsidRPr="000B4B6E" w:rsidRDefault="000B4B6E" w:rsidP="000B4B6E">
      <w:pPr>
        <w:shd w:val="clear" w:color="auto" w:fill="FFFFFF"/>
        <w:spacing w:line="360" w:lineRule="atLeast"/>
        <w:jc w:val="center"/>
        <w:rPr>
          <w:rFonts w:ascii="Georgia" w:eastAsia="Times New Roman" w:hAnsi="Georgia" w:cs="Times New Roman"/>
          <w:color w:val="000000"/>
          <w:sz w:val="29"/>
          <w:szCs w:val="29"/>
        </w:rPr>
      </w:pPr>
      <w:r w:rsidRPr="000B4B6E">
        <w:rPr>
          <w:rFonts w:ascii="Georgia" w:eastAsia="Times New Roman" w:hAnsi="Georgia" w:cs="Times New Roman"/>
          <w:color w:val="000000"/>
          <w:sz w:val="29"/>
          <w:szCs w:val="29"/>
        </w:rPr>
        <w:t>GEORGIA, Petitioner</w:t>
      </w:r>
    </w:p>
    <w:p w:rsidR="000B4B6E" w:rsidRPr="000B4B6E" w:rsidRDefault="000B4B6E" w:rsidP="000B4B6E">
      <w:pPr>
        <w:shd w:val="clear" w:color="auto" w:fill="FFFFFF"/>
        <w:spacing w:line="360" w:lineRule="atLeast"/>
        <w:jc w:val="center"/>
        <w:rPr>
          <w:rFonts w:ascii="Georgia" w:eastAsia="Times New Roman" w:hAnsi="Georgia" w:cs="Times New Roman"/>
          <w:color w:val="000000"/>
          <w:sz w:val="29"/>
          <w:szCs w:val="29"/>
        </w:rPr>
      </w:pPr>
      <w:r w:rsidRPr="000B4B6E">
        <w:rPr>
          <w:rFonts w:ascii="Georgia" w:eastAsia="Times New Roman" w:hAnsi="Georgia" w:cs="Times New Roman"/>
          <w:color w:val="000000"/>
          <w:sz w:val="29"/>
          <w:szCs w:val="29"/>
        </w:rPr>
        <w:t>v.</w:t>
      </w:r>
    </w:p>
    <w:p w:rsidR="000B4B6E" w:rsidRPr="000B4B6E" w:rsidRDefault="000B4B6E" w:rsidP="000B4B6E">
      <w:pPr>
        <w:shd w:val="clear" w:color="auto" w:fill="FFFFFF"/>
        <w:spacing w:line="360" w:lineRule="atLeast"/>
        <w:jc w:val="center"/>
        <w:rPr>
          <w:rFonts w:ascii="Georgia" w:eastAsia="Times New Roman" w:hAnsi="Georgia" w:cs="Times New Roman"/>
          <w:color w:val="000000"/>
          <w:sz w:val="29"/>
          <w:szCs w:val="29"/>
        </w:rPr>
      </w:pPr>
      <w:r w:rsidRPr="000B4B6E">
        <w:rPr>
          <w:rFonts w:ascii="Georgia" w:eastAsia="Times New Roman" w:hAnsi="Georgia" w:cs="Times New Roman"/>
          <w:color w:val="000000"/>
          <w:sz w:val="29"/>
          <w:szCs w:val="29"/>
        </w:rPr>
        <w:t>Thomas McCOLLUM, William Joseph McCollum and Ella Hampton McCollum.</w:t>
      </w:r>
    </w:p>
    <w:p w:rsidR="000B4B6E" w:rsidRPr="000B4B6E" w:rsidRDefault="000B4B6E" w:rsidP="000B4B6E">
      <w:pPr>
        <w:shd w:val="clear" w:color="auto" w:fill="FFFFFF"/>
        <w:jc w:val="center"/>
        <w:rPr>
          <w:rFonts w:ascii="Arial" w:eastAsia="Times New Roman" w:hAnsi="Arial" w:cs="Arial"/>
          <w:color w:val="000000"/>
        </w:rPr>
      </w:pPr>
      <w:r w:rsidRPr="000B4B6E">
        <w:rPr>
          <w:rFonts w:ascii="Georgia" w:eastAsia="Times New Roman" w:hAnsi="Georgia" w:cs="Arial"/>
          <w:color w:val="000000"/>
          <w:shd w:val="clear" w:color="auto" w:fill="FFFFFF"/>
        </w:rPr>
        <w:t>No. 91–372.</w:t>
      </w:r>
    </w:p>
    <w:p w:rsidR="000B4B6E" w:rsidRPr="000B4B6E" w:rsidRDefault="000B4B6E" w:rsidP="000B4B6E">
      <w:pPr>
        <w:shd w:val="clear" w:color="auto" w:fill="FFFFFF"/>
        <w:jc w:val="center"/>
        <w:rPr>
          <w:rFonts w:ascii="Georgia" w:eastAsia="Times New Roman" w:hAnsi="Georgia" w:cs="Arial"/>
          <w:color w:val="000000"/>
        </w:rPr>
      </w:pPr>
      <w:r w:rsidRPr="000B4B6E">
        <w:rPr>
          <w:rFonts w:ascii="Georgia" w:eastAsia="Times New Roman" w:hAnsi="Georgia" w:cs="Arial"/>
          <w:color w:val="000000"/>
          <w:shd w:val="clear" w:color="auto" w:fill="FFFFFF"/>
        </w:rPr>
        <w:t>Argued Feb. 26, 1992.Decided June 18, 1992.</w:t>
      </w:r>
    </w:p>
    <w:p w:rsidR="000B4B6E" w:rsidRPr="000B4B6E" w:rsidRDefault="000B4B6E" w:rsidP="000B4B6E">
      <w:pPr>
        <w:shd w:val="clear" w:color="auto" w:fill="FFFFFF"/>
        <w:outlineLvl w:val="1"/>
        <w:rPr>
          <w:rFonts w:ascii="Arial" w:eastAsia="Times New Roman" w:hAnsi="Arial" w:cs="Arial"/>
          <w:b/>
          <w:bCs/>
          <w:color w:val="212121"/>
          <w:sz w:val="32"/>
          <w:szCs w:val="32"/>
        </w:rPr>
      </w:pPr>
      <w:r w:rsidRPr="000B4B6E">
        <w:rPr>
          <w:rFonts w:ascii="Arial" w:eastAsia="Times New Roman" w:hAnsi="Arial" w:cs="Arial"/>
          <w:b/>
          <w:bCs/>
          <w:color w:val="212121"/>
          <w:sz w:val="32"/>
          <w:szCs w:val="32"/>
        </w:rPr>
        <w:t>Synopsis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State filed motion to prohibit defendants from using peremptory strikes in racially discriminatory manner in criminal case. The Georgia Superior Court, Dougherty County, Asa D. Kelley, Jr., J., denied motion, and State appealed. The Supreme Court, 261 Ga. 473, 405 S.E.2d 688, affirmed. Certiorari was granted. The Supreme Court, Justice Blackmun, held that: (1) equal protection clause prohibited defendant from engaging in purposeful discrimination on ground of race; (2) defendant's exercise of peremptory challenges was state action for purposes of equal protection clause; and (3) state had standing.</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Reversed and remanded.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Chief Justice Rehnquist concurred and filed opinion.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Justice Thomas concurred in judgment and filed opinion.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Justice O'Connor and Justice Scalia dissented and filed opinions.</w:t>
      </w:r>
    </w:p>
    <w:p w:rsidR="000B4B6E" w:rsidRPr="000B4B6E" w:rsidRDefault="000B4B6E" w:rsidP="000B4B6E">
      <w:pPr>
        <w:pBdr>
          <w:top w:val="single" w:sz="6" w:space="0" w:color="D6D6D6"/>
          <w:left w:val="single" w:sz="6" w:space="0" w:color="D6D6D6"/>
          <w:bottom w:val="single" w:sz="2" w:space="0" w:color="D6D6D6"/>
          <w:right w:val="single" w:sz="6" w:space="0" w:color="D6D6D6"/>
        </w:pBdr>
        <w:shd w:val="clear" w:color="auto" w:fill="D6D6D6"/>
        <w:spacing w:line="555" w:lineRule="atLeast"/>
        <w:outlineLvl w:val="1"/>
        <w:rPr>
          <w:rFonts w:ascii="Arial" w:eastAsia="Times New Roman" w:hAnsi="Arial" w:cs="Arial"/>
          <w:b/>
          <w:bCs/>
          <w:color w:val="212121"/>
          <w:sz w:val="32"/>
          <w:szCs w:val="32"/>
        </w:rPr>
      </w:pPr>
      <w:r w:rsidRPr="000B4B6E">
        <w:rPr>
          <w:rFonts w:ascii="Arial" w:eastAsia="Times New Roman" w:hAnsi="Arial" w:cs="Arial"/>
          <w:b/>
          <w:bCs/>
          <w:color w:val="000000"/>
          <w:sz w:val="32"/>
          <w:szCs w:val="32"/>
        </w:rPr>
        <w:t>West Headnotes (13)</w:t>
      </w:r>
      <w:r w:rsidRPr="000B4B6E">
        <w:rPr>
          <w:rFonts w:ascii="Arial" w:eastAsia="Times New Roman" w:hAnsi="Arial" w:cs="Arial"/>
          <w:b/>
          <w:bCs/>
          <w:color w:val="212121"/>
          <w:sz w:val="32"/>
          <w:szCs w:val="32"/>
        </w:rPr>
        <w:t>Expand West Headnotes</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**2350</w:t>
      </w:r>
      <w:r w:rsidRPr="000B4B6E">
        <w:rPr>
          <w:rFonts w:ascii="Arial" w:eastAsia="Times New Roman" w:hAnsi="Arial" w:cs="Arial"/>
          <w:b/>
          <w:bCs/>
          <w:color w:val="000000"/>
        </w:rPr>
        <w:t> </w:t>
      </w:r>
      <w:r w:rsidRPr="000B4B6E">
        <w:rPr>
          <w:rFonts w:ascii="Arial" w:eastAsia="Times New Roman" w:hAnsi="Arial" w:cs="Arial"/>
          <w:b/>
          <w:bCs/>
          <w:i/>
          <w:iCs/>
          <w:color w:val="000000"/>
        </w:rPr>
        <w:t>Syllabus</w:t>
      </w:r>
      <w:r w:rsidRPr="000B4B6E">
        <w:rPr>
          <w:rFonts w:ascii="Arial" w:eastAsia="Times New Roman" w:hAnsi="Arial" w:cs="Arial"/>
          <w:b/>
          <w:bCs/>
          <w:color w:val="000000"/>
          <w:vertAlign w:val="superscript"/>
        </w:rPr>
        <w:t>*</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shd w:val="clear" w:color="auto" w:fill="FFFFFF"/>
        </w:rPr>
        <w:t>*43</w:t>
      </w:r>
      <w:r w:rsidRPr="000B4B6E">
        <w:rPr>
          <w:rFonts w:ascii="Arial" w:eastAsia="Times New Roman" w:hAnsi="Arial" w:cs="Arial"/>
          <w:color w:val="000000"/>
        </w:rPr>
        <w:t> Respondents, who are white, were charged with assaulting two African–Americans. Before jury selection began, the trial judge denied the prosecution's motion to prohibit respondents from exercising peremptory challenges in a racially discriminatory manner. The Georgia Supreme Court affirmed, distinguishing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660—in which this Court held that private litigants cannot exercise peremptory strikes in a racially discriminatory manner—on the ground that it involved civil litigants rather than criminal defendants.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i/>
          <w:iCs/>
          <w:color w:val="000000"/>
        </w:rPr>
        <w:t>Held:</w:t>
      </w:r>
      <w:r w:rsidRPr="000B4B6E">
        <w:rPr>
          <w:rFonts w:ascii="Arial" w:eastAsia="Times New Roman" w:hAnsi="Arial" w:cs="Arial"/>
          <w:color w:val="000000"/>
        </w:rPr>
        <w:t> The Constitution prohibits a criminal defendant from engaging in purposeful discrimination on the ground of race in the exercise of peremptory challenges. Pp. 2352–2359.</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(a) The exercise of racially discriminatory peremptory challenges offends the Equal Protection Clause when the offending challenges are made by the State, </w:t>
      </w:r>
      <w:r w:rsidRPr="000B4B6E">
        <w:rPr>
          <w:rFonts w:ascii="Arial" w:eastAsia="Times New Roman" w:hAnsi="Arial" w:cs="Arial"/>
          <w:i/>
          <w:iCs/>
          <w:color w:val="000000"/>
        </w:rPr>
        <w:t>Batson v. Kentucky,</w:t>
      </w:r>
      <w:r w:rsidRPr="000B4B6E">
        <w:rPr>
          <w:rFonts w:ascii="Arial" w:eastAsia="Times New Roman" w:hAnsi="Arial" w:cs="Arial"/>
          <w:color w:val="000000"/>
        </w:rPr>
        <w:t> 476 U.S. 79, 106 S.Ct. 1712, 90 L.Ed.2d 69; </w:t>
      </w:r>
      <w:r w:rsidRPr="000B4B6E">
        <w:rPr>
          <w:rFonts w:ascii="Arial" w:eastAsia="Times New Roman" w:hAnsi="Arial" w:cs="Arial"/>
          <w:i/>
          <w:iCs/>
          <w:color w:val="000000"/>
        </w:rPr>
        <w:t>Powers v. Ohio,</w:t>
      </w:r>
      <w:r w:rsidRPr="000B4B6E">
        <w:rPr>
          <w:rFonts w:ascii="Arial" w:eastAsia="Times New Roman" w:hAnsi="Arial" w:cs="Arial"/>
          <w:color w:val="000000"/>
        </w:rPr>
        <w:t> 499 U.S. 400, 111 S.Ct. 1364, 113 L.Ed.2d 411, and, in civil cases, when they are made by private litigants, </w:t>
      </w:r>
      <w:r w:rsidRPr="000B4B6E">
        <w:rPr>
          <w:rFonts w:ascii="Arial" w:eastAsia="Times New Roman" w:hAnsi="Arial" w:cs="Arial"/>
          <w:i/>
          <w:iCs/>
          <w:color w:val="000000"/>
        </w:rPr>
        <w:t>Edmonson, supra.</w:t>
      </w:r>
      <w:r w:rsidRPr="000B4B6E">
        <w:rPr>
          <w:rFonts w:ascii="Arial" w:eastAsia="Times New Roman" w:hAnsi="Arial" w:cs="Arial"/>
          <w:color w:val="000000"/>
        </w:rPr>
        <w:t> Whether the prohibition should be extended to discriminatory challenges made by a criminal defendant turns upon the following four-factor analysis. Pp. 2352–2353.</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 A criminal defendant's racially discriminatory exercise of peremptory challenges inflicts the harms addressed by </w:t>
      </w:r>
      <w:r w:rsidRPr="000B4B6E">
        <w:rPr>
          <w:rFonts w:ascii="Arial" w:eastAsia="Times New Roman" w:hAnsi="Arial" w:cs="Arial"/>
          <w:i/>
          <w:iCs/>
          <w:color w:val="000000"/>
        </w:rPr>
        <w:t>Batson.</w:t>
      </w:r>
      <w:r w:rsidRPr="000B4B6E">
        <w:rPr>
          <w:rFonts w:ascii="Arial" w:eastAsia="Times New Roman" w:hAnsi="Arial" w:cs="Arial"/>
          <w:color w:val="000000"/>
        </w:rPr>
        <w:t xml:space="preserve"> Regardless of whether it is the State or the defense who invokes them, discriminatory challenges harm the </w:t>
      </w:r>
      <w:r w:rsidRPr="000B4B6E">
        <w:rPr>
          <w:rFonts w:ascii="Arial" w:eastAsia="Times New Roman" w:hAnsi="Arial" w:cs="Arial"/>
          <w:color w:val="000000"/>
        </w:rPr>
        <w:lastRenderedPageBreak/>
        <w:t>individual juror by subjecting him to open and public racial discrimination and harm the community by undermining public confidence in this country's system of justice. Pp. 2353–2354.</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(c) A criminal defendant's exercise of peremptory challenges constitutes state action for purposes of the Equal Protection Clause under the analytical framework summarized in </w:t>
      </w:r>
      <w:r w:rsidRPr="000B4B6E">
        <w:rPr>
          <w:rFonts w:ascii="Arial" w:eastAsia="Times New Roman" w:hAnsi="Arial" w:cs="Arial"/>
          <w:i/>
          <w:iCs/>
          <w:color w:val="000000"/>
        </w:rPr>
        <w:t>Lugar v. Edmondson Oil Co.,</w:t>
      </w:r>
      <w:r w:rsidRPr="000B4B6E">
        <w:rPr>
          <w:rFonts w:ascii="Arial" w:eastAsia="Times New Roman" w:hAnsi="Arial" w:cs="Arial"/>
          <w:color w:val="000000"/>
        </w:rPr>
        <w:t> 457 U.S. 922, 102 S.Ct. 2744, 73 L.Ed.2d 482. Respondents' argument that the adversarial relationship between the defendant and the prosecution negates a peremptory challenge's governmental character is rejected. Unlike other actions taken in support of a defendant's defense, the exercise of a peremptory challenge determines the composition of a governmental body. The fact that a defendant exercises a peremptory challenge to further his interest in acquittal does not conflict with a finding of state action, since whenever a private actor's conduct is deemed fairly attributable to the government, it is likely that private motives will have animated the actor's decision. Pp. 2354–2357.</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(d) The State has third-party standing to challenge a defendant's discriminatory use of peremptory challenges, since it suffers a concrete injury when the fairness and the integrity of its own judicial process is undermined; since, as the representative of all its citizens, it has a close relation to potential jurors; and since the barriers to suit by an excluded juror are daunting. See </w:t>
      </w:r>
      <w:r w:rsidRPr="000B4B6E">
        <w:rPr>
          <w:rFonts w:ascii="Arial" w:eastAsia="Times New Roman" w:hAnsi="Arial" w:cs="Arial"/>
          <w:i/>
          <w:iCs/>
          <w:color w:val="000000"/>
        </w:rPr>
        <w:t>Powers,</w:t>
      </w:r>
      <w:r w:rsidRPr="000B4B6E">
        <w:rPr>
          <w:rFonts w:ascii="Arial" w:eastAsia="Times New Roman" w:hAnsi="Arial" w:cs="Arial"/>
          <w:color w:val="000000"/>
        </w:rPr>
        <w:t> 499 U.S., at 411, 413, 414, 111 S.Ct., at 1370, 1371, 1372. P. 2357.</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(e) A prohibition against the discriminatory exercise of peremptory challenges does not violate a criminal defendant's constitutional rights. It is an affront to justice to argue that the right to a fair trial includes the right to discriminate against a group of citizens based upon their race. Nor does the prohibition violate the Sixth Amendment right to the effective assistance of counsel, since counsel can normally explain the reasons for peremptory challenges without revealing strategy or confidential communication, and since neither the Sixth Amendment nor the attorney-client privilege gives a defendant the right to carry out through counsel an unlawful course of conduct. In addition, </w:t>
      </w:r>
      <w:r w:rsidRPr="000B4B6E">
        <w:rPr>
          <w:rFonts w:ascii="Arial" w:eastAsia="Times New Roman" w:hAnsi="Arial" w:cs="Arial"/>
          <w:color w:val="000000"/>
          <w:shd w:val="clear" w:color="auto" w:fill="FFFFFF"/>
        </w:rPr>
        <w:t>**2351</w:t>
      </w:r>
      <w:r w:rsidRPr="000B4B6E">
        <w:rPr>
          <w:rFonts w:ascii="Arial" w:eastAsia="Times New Roman" w:hAnsi="Arial" w:cs="Arial"/>
          <w:color w:val="000000"/>
        </w:rPr>
        <w:t> the prohibition does not violate the Sixth Amendment right to a trial by a jury that is impartial with respect to both parties. Removing a juror whom the defendant believes harbors racial prejudice is different from exercising a peremptory challenge to discriminate invidiously against jurors on account of race. Pp. 2357–2359.</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261 Ga. 473, 405 S.E.2d 688 (1991), reversed and remanded.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BLACKMUN, J., delivered the opinion of the Court, in which REHNQUIST, C.J., and WHITE, STEVENS, KENNEDY, and SOUTER, JJ., joined. REHNQUIST, C.J., filed a concurring opinion </w:t>
      </w:r>
      <w:r w:rsidRPr="000B4B6E">
        <w:rPr>
          <w:rFonts w:ascii="Arial" w:eastAsia="Times New Roman" w:hAnsi="Arial" w:cs="Arial"/>
          <w:i/>
          <w:iCs/>
          <w:color w:val="000000"/>
        </w:rPr>
        <w:t>post,</w:t>
      </w:r>
      <w:r w:rsidRPr="000B4B6E">
        <w:rPr>
          <w:rFonts w:ascii="Arial" w:eastAsia="Times New Roman" w:hAnsi="Arial" w:cs="Arial"/>
          <w:color w:val="000000"/>
        </w:rPr>
        <w:t> p. 2359. THOMAS, J., filed an opinion concurring in the judgment </w:t>
      </w:r>
      <w:r w:rsidRPr="000B4B6E">
        <w:rPr>
          <w:rFonts w:ascii="Arial" w:eastAsia="Times New Roman" w:hAnsi="Arial" w:cs="Arial"/>
          <w:i/>
          <w:iCs/>
          <w:color w:val="000000"/>
        </w:rPr>
        <w:t>post,</w:t>
      </w:r>
      <w:r w:rsidRPr="000B4B6E">
        <w:rPr>
          <w:rFonts w:ascii="Arial" w:eastAsia="Times New Roman" w:hAnsi="Arial" w:cs="Arial"/>
          <w:color w:val="000000"/>
        </w:rPr>
        <w:t> p. 2359. O'CONNOR, J., </w:t>
      </w:r>
      <w:r w:rsidRPr="000B4B6E">
        <w:rPr>
          <w:rFonts w:ascii="Arial" w:eastAsia="Times New Roman" w:hAnsi="Arial" w:cs="Arial"/>
          <w:i/>
          <w:iCs/>
          <w:color w:val="000000"/>
        </w:rPr>
        <w:t>post,</w:t>
      </w:r>
      <w:r w:rsidRPr="000B4B6E">
        <w:rPr>
          <w:rFonts w:ascii="Arial" w:eastAsia="Times New Roman" w:hAnsi="Arial" w:cs="Arial"/>
          <w:color w:val="000000"/>
        </w:rPr>
        <w:t> p. 2361, and SCALIA, J., </w:t>
      </w:r>
      <w:r w:rsidRPr="000B4B6E">
        <w:rPr>
          <w:rFonts w:ascii="Arial" w:eastAsia="Times New Roman" w:hAnsi="Arial" w:cs="Arial"/>
          <w:i/>
          <w:iCs/>
          <w:color w:val="000000"/>
        </w:rPr>
        <w:t>post,</w:t>
      </w:r>
      <w:r w:rsidRPr="000B4B6E">
        <w:rPr>
          <w:rFonts w:ascii="Arial" w:eastAsia="Times New Roman" w:hAnsi="Arial" w:cs="Arial"/>
          <w:color w:val="000000"/>
        </w:rPr>
        <w:t> p. 2364, filed dissenting opinions.</w:t>
      </w:r>
    </w:p>
    <w:p w:rsidR="000B4B6E" w:rsidRPr="000B4B6E" w:rsidRDefault="000B4B6E" w:rsidP="000B4B6E">
      <w:pPr>
        <w:spacing w:before="240" w:after="240"/>
        <w:outlineLvl w:val="1"/>
        <w:rPr>
          <w:rFonts w:ascii="Arial" w:eastAsia="Times New Roman" w:hAnsi="Arial" w:cs="Arial"/>
          <w:b/>
          <w:bCs/>
          <w:color w:val="212121"/>
          <w:sz w:val="27"/>
          <w:szCs w:val="27"/>
        </w:rPr>
      </w:pPr>
      <w:r w:rsidRPr="000B4B6E">
        <w:rPr>
          <w:rFonts w:ascii="Arial" w:eastAsia="Times New Roman" w:hAnsi="Arial" w:cs="Arial"/>
          <w:b/>
          <w:bCs/>
          <w:color w:val="212121"/>
          <w:sz w:val="27"/>
          <w:szCs w:val="27"/>
        </w:rPr>
        <w:t>Attorneys and Law Firms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i/>
          <w:iCs/>
          <w:color w:val="000000"/>
        </w:rPr>
        <w:t>Harrison W. Kohler,</w:t>
      </w:r>
      <w:r w:rsidRPr="000B4B6E">
        <w:rPr>
          <w:rFonts w:ascii="Arial" w:eastAsia="Times New Roman" w:hAnsi="Arial" w:cs="Arial"/>
          <w:color w:val="000000"/>
        </w:rPr>
        <w:t> Senior Assistant Attorney General of Georgia, argued the cause for petitioner. With him on the briefs were </w:t>
      </w:r>
      <w:r w:rsidRPr="000B4B6E">
        <w:rPr>
          <w:rFonts w:ascii="Arial" w:eastAsia="Times New Roman" w:hAnsi="Arial" w:cs="Arial"/>
          <w:i/>
          <w:iCs/>
          <w:color w:val="000000"/>
        </w:rPr>
        <w:t>Michael J. Bowers,</w:t>
      </w:r>
      <w:r w:rsidRPr="000B4B6E">
        <w:rPr>
          <w:rFonts w:ascii="Arial" w:eastAsia="Times New Roman" w:hAnsi="Arial" w:cs="Arial"/>
          <w:color w:val="000000"/>
        </w:rPr>
        <w:t> Attorney General, and </w:t>
      </w:r>
      <w:r w:rsidRPr="000B4B6E">
        <w:rPr>
          <w:rFonts w:ascii="Arial" w:eastAsia="Times New Roman" w:hAnsi="Arial" w:cs="Arial"/>
          <w:i/>
          <w:iCs/>
          <w:color w:val="000000"/>
        </w:rPr>
        <w:t>Charles M. Richards,</w:t>
      </w:r>
      <w:r w:rsidRPr="000B4B6E">
        <w:rPr>
          <w:rFonts w:ascii="Arial" w:eastAsia="Times New Roman" w:hAnsi="Arial" w:cs="Arial"/>
          <w:color w:val="000000"/>
        </w:rPr>
        <w:t> Senior Assistant Attorney General.</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i/>
          <w:iCs/>
          <w:color w:val="000000"/>
        </w:rPr>
        <w:t>Michael R. Dreeben</w:t>
      </w:r>
      <w:r w:rsidRPr="000B4B6E">
        <w:rPr>
          <w:rFonts w:ascii="Arial" w:eastAsia="Times New Roman" w:hAnsi="Arial" w:cs="Arial"/>
          <w:color w:val="000000"/>
        </w:rPr>
        <w:t> argued the cause for the United States as </w:t>
      </w:r>
      <w:r w:rsidRPr="000B4B6E">
        <w:rPr>
          <w:rFonts w:ascii="Arial" w:eastAsia="Times New Roman" w:hAnsi="Arial" w:cs="Arial"/>
          <w:i/>
          <w:iCs/>
          <w:color w:val="000000"/>
        </w:rPr>
        <w:t>amicus curiae</w:t>
      </w:r>
      <w:r w:rsidRPr="000B4B6E">
        <w:rPr>
          <w:rFonts w:ascii="Arial" w:eastAsia="Times New Roman" w:hAnsi="Arial" w:cs="Arial"/>
          <w:color w:val="000000"/>
        </w:rPr>
        <w:t> urging reversal. With him on the brief were </w:t>
      </w:r>
      <w:r w:rsidRPr="000B4B6E">
        <w:rPr>
          <w:rFonts w:ascii="Arial" w:eastAsia="Times New Roman" w:hAnsi="Arial" w:cs="Arial"/>
          <w:i/>
          <w:iCs/>
          <w:color w:val="000000"/>
        </w:rPr>
        <w:t>Solicitor General Starr, Assistant Attorney General Mueller,</w:t>
      </w:r>
      <w:r w:rsidRPr="000B4B6E">
        <w:rPr>
          <w:rFonts w:ascii="Arial" w:eastAsia="Times New Roman" w:hAnsi="Arial" w:cs="Arial"/>
          <w:color w:val="000000"/>
        </w:rPr>
        <w:t> and </w:t>
      </w:r>
      <w:r w:rsidRPr="000B4B6E">
        <w:rPr>
          <w:rFonts w:ascii="Arial" w:eastAsia="Times New Roman" w:hAnsi="Arial" w:cs="Arial"/>
          <w:i/>
          <w:iCs/>
          <w:color w:val="000000"/>
        </w:rPr>
        <w:t>Deputy Solicitor General Bryson.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shd w:val="clear" w:color="auto" w:fill="FFFFFF"/>
        </w:rPr>
        <w:t>*44</w:t>
      </w:r>
      <w:r w:rsidRPr="000B4B6E">
        <w:rPr>
          <w:rFonts w:ascii="Arial" w:eastAsia="Times New Roman" w:hAnsi="Arial" w:cs="Arial"/>
          <w:color w:val="000000"/>
        </w:rPr>
        <w:t> </w:t>
      </w:r>
      <w:r w:rsidRPr="000B4B6E">
        <w:rPr>
          <w:rFonts w:ascii="Arial" w:eastAsia="Times New Roman" w:hAnsi="Arial" w:cs="Arial"/>
          <w:i/>
          <w:iCs/>
          <w:color w:val="000000"/>
        </w:rPr>
        <w:t>Robert H. Revell, Jr.,</w:t>
      </w:r>
      <w:r w:rsidRPr="000B4B6E">
        <w:rPr>
          <w:rFonts w:ascii="Arial" w:eastAsia="Times New Roman" w:hAnsi="Arial" w:cs="Arial"/>
          <w:color w:val="000000"/>
        </w:rPr>
        <w:t> argued the cause for respondents. With him on the brief was </w:t>
      </w:r>
      <w:r w:rsidRPr="000B4B6E">
        <w:rPr>
          <w:rFonts w:ascii="Arial" w:eastAsia="Times New Roman" w:hAnsi="Arial" w:cs="Arial"/>
          <w:i/>
          <w:iCs/>
          <w:color w:val="000000"/>
        </w:rPr>
        <w:t>Jesse W. Walters.</w:t>
      </w:r>
      <w:r w:rsidRPr="000B4B6E">
        <w:rPr>
          <w:rFonts w:ascii="Arial" w:eastAsia="Times New Roman" w:hAnsi="Arial" w:cs="Arial"/>
          <w:color w:val="000000"/>
        </w:rPr>
        <w:t> *</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 Briefs of </w:t>
      </w:r>
      <w:r w:rsidRPr="000B4B6E">
        <w:rPr>
          <w:rFonts w:ascii="Arial" w:eastAsia="Times New Roman" w:hAnsi="Arial" w:cs="Arial"/>
          <w:i/>
          <w:iCs/>
          <w:color w:val="000000"/>
        </w:rPr>
        <w:t>amici curiae</w:t>
      </w:r>
      <w:r w:rsidRPr="000B4B6E">
        <w:rPr>
          <w:rFonts w:ascii="Arial" w:eastAsia="Times New Roman" w:hAnsi="Arial" w:cs="Arial"/>
          <w:color w:val="000000"/>
        </w:rPr>
        <w:t> urging reversal were filed for the Criminal Justice Legal Foundation by </w:t>
      </w:r>
      <w:r w:rsidRPr="000B4B6E">
        <w:rPr>
          <w:rFonts w:ascii="Arial" w:eastAsia="Times New Roman" w:hAnsi="Arial" w:cs="Arial"/>
          <w:i/>
          <w:iCs/>
          <w:color w:val="000000"/>
        </w:rPr>
        <w:t>Kent Scheidegger</w:t>
      </w:r>
      <w:r w:rsidRPr="000B4B6E">
        <w:rPr>
          <w:rFonts w:ascii="Arial" w:eastAsia="Times New Roman" w:hAnsi="Arial" w:cs="Arial"/>
          <w:color w:val="000000"/>
        </w:rPr>
        <w:t> and </w:t>
      </w:r>
      <w:r w:rsidRPr="000B4B6E">
        <w:rPr>
          <w:rFonts w:ascii="Arial" w:eastAsia="Times New Roman" w:hAnsi="Arial" w:cs="Arial"/>
          <w:i/>
          <w:iCs/>
          <w:color w:val="000000"/>
        </w:rPr>
        <w:t>Charles L. Hobson;</w:t>
      </w:r>
      <w:r w:rsidRPr="000B4B6E">
        <w:rPr>
          <w:rFonts w:ascii="Arial" w:eastAsia="Times New Roman" w:hAnsi="Arial" w:cs="Arial"/>
          <w:color w:val="000000"/>
        </w:rPr>
        <w:t> and for the NAACP Legal Defense and Educational Fund, Inc., by </w:t>
      </w:r>
      <w:r w:rsidRPr="000B4B6E">
        <w:rPr>
          <w:rFonts w:ascii="Arial" w:eastAsia="Times New Roman" w:hAnsi="Arial" w:cs="Arial"/>
          <w:i/>
          <w:iCs/>
          <w:color w:val="000000"/>
        </w:rPr>
        <w:t>Julius L. Chambers, Charles Stephen Ralston,</w:t>
      </w:r>
      <w:r w:rsidRPr="000B4B6E">
        <w:rPr>
          <w:rFonts w:ascii="Arial" w:eastAsia="Times New Roman" w:hAnsi="Arial" w:cs="Arial"/>
          <w:color w:val="000000"/>
        </w:rPr>
        <w:t> and </w:t>
      </w:r>
      <w:r w:rsidRPr="000B4B6E">
        <w:rPr>
          <w:rFonts w:ascii="Arial" w:eastAsia="Times New Roman" w:hAnsi="Arial" w:cs="Arial"/>
          <w:i/>
          <w:iCs/>
          <w:color w:val="000000"/>
        </w:rPr>
        <w:t>Eric Schnapper.</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Briefs of </w:t>
      </w:r>
      <w:r w:rsidRPr="000B4B6E">
        <w:rPr>
          <w:rFonts w:ascii="Arial" w:eastAsia="Times New Roman" w:hAnsi="Arial" w:cs="Arial"/>
          <w:i/>
          <w:iCs/>
          <w:color w:val="000000"/>
        </w:rPr>
        <w:t>amici curiae</w:t>
      </w:r>
      <w:r w:rsidRPr="000B4B6E">
        <w:rPr>
          <w:rFonts w:ascii="Arial" w:eastAsia="Times New Roman" w:hAnsi="Arial" w:cs="Arial"/>
          <w:color w:val="000000"/>
        </w:rPr>
        <w:t> were filed for the National Association of Criminal Defense Lawyers by </w:t>
      </w:r>
      <w:r w:rsidRPr="000B4B6E">
        <w:rPr>
          <w:rFonts w:ascii="Arial" w:eastAsia="Times New Roman" w:hAnsi="Arial" w:cs="Arial"/>
          <w:i/>
          <w:iCs/>
          <w:color w:val="000000"/>
        </w:rPr>
        <w:t>Judy Clarke</w:t>
      </w:r>
      <w:r w:rsidRPr="000B4B6E">
        <w:rPr>
          <w:rFonts w:ascii="Arial" w:eastAsia="Times New Roman" w:hAnsi="Arial" w:cs="Arial"/>
          <w:color w:val="000000"/>
        </w:rPr>
        <w:t> and </w:t>
      </w:r>
      <w:r w:rsidRPr="000B4B6E">
        <w:rPr>
          <w:rFonts w:ascii="Arial" w:eastAsia="Times New Roman" w:hAnsi="Arial" w:cs="Arial"/>
          <w:i/>
          <w:iCs/>
          <w:color w:val="000000"/>
        </w:rPr>
        <w:t>Mario G. Conte</w:t>
      </w:r>
      <w:r w:rsidRPr="000B4B6E">
        <w:rPr>
          <w:rFonts w:ascii="Arial" w:eastAsia="Times New Roman" w:hAnsi="Arial" w:cs="Arial"/>
          <w:color w:val="000000"/>
        </w:rPr>
        <w:t>; and for </w:t>
      </w:r>
      <w:r w:rsidRPr="000B4B6E">
        <w:rPr>
          <w:rFonts w:ascii="Arial" w:eastAsia="Times New Roman" w:hAnsi="Arial" w:cs="Arial"/>
          <w:i/>
          <w:iCs/>
          <w:color w:val="000000"/>
        </w:rPr>
        <w:t>Charles J. Hynes, pro se,</w:t>
      </w:r>
      <w:r w:rsidRPr="000B4B6E">
        <w:rPr>
          <w:rFonts w:ascii="Arial" w:eastAsia="Times New Roman" w:hAnsi="Arial" w:cs="Arial"/>
          <w:color w:val="000000"/>
        </w:rPr>
        <w:t> by </w:t>
      </w:r>
      <w:r w:rsidRPr="000B4B6E">
        <w:rPr>
          <w:rFonts w:ascii="Arial" w:eastAsia="Times New Roman" w:hAnsi="Arial" w:cs="Arial"/>
          <w:i/>
          <w:iCs/>
          <w:color w:val="000000"/>
        </w:rPr>
        <w:t>Jay M. Cohen</w:t>
      </w:r>
      <w:r w:rsidRPr="000B4B6E">
        <w:rPr>
          <w:rFonts w:ascii="Arial" w:eastAsia="Times New Roman" w:hAnsi="Arial" w:cs="Arial"/>
          <w:color w:val="000000"/>
        </w:rPr>
        <w:t>, </w:t>
      </w:r>
      <w:r w:rsidRPr="000B4B6E">
        <w:rPr>
          <w:rFonts w:ascii="Arial" w:eastAsia="Times New Roman" w:hAnsi="Arial" w:cs="Arial"/>
          <w:i/>
          <w:iCs/>
          <w:color w:val="000000"/>
        </w:rPr>
        <w:t>Matthew S. Greenberg</w:t>
      </w:r>
      <w:r w:rsidRPr="000B4B6E">
        <w:rPr>
          <w:rFonts w:ascii="Arial" w:eastAsia="Times New Roman" w:hAnsi="Arial" w:cs="Arial"/>
          <w:color w:val="000000"/>
        </w:rPr>
        <w:t>, </w:t>
      </w:r>
      <w:r w:rsidRPr="000B4B6E">
        <w:rPr>
          <w:rFonts w:ascii="Arial" w:eastAsia="Times New Roman" w:hAnsi="Arial" w:cs="Arial"/>
          <w:i/>
          <w:iCs/>
          <w:color w:val="000000"/>
        </w:rPr>
        <w:t>Victor Barall</w:t>
      </w:r>
      <w:r w:rsidRPr="000B4B6E">
        <w:rPr>
          <w:rFonts w:ascii="Arial" w:eastAsia="Times New Roman" w:hAnsi="Arial" w:cs="Arial"/>
          <w:color w:val="000000"/>
        </w:rPr>
        <w:t>, and </w:t>
      </w:r>
      <w:r w:rsidRPr="000B4B6E">
        <w:rPr>
          <w:rFonts w:ascii="Arial" w:eastAsia="Times New Roman" w:hAnsi="Arial" w:cs="Arial"/>
          <w:i/>
          <w:iCs/>
          <w:color w:val="000000"/>
        </w:rPr>
        <w:t>Carol Teague Schwartzkopf</w:t>
      </w:r>
      <w:r w:rsidRPr="000B4B6E">
        <w:rPr>
          <w:rFonts w:ascii="Arial" w:eastAsia="Times New Roman" w:hAnsi="Arial" w:cs="Arial"/>
          <w:color w:val="000000"/>
        </w:rPr>
        <w:t>.</w:t>
      </w:r>
    </w:p>
    <w:p w:rsidR="000B4B6E" w:rsidRPr="000B4B6E" w:rsidRDefault="000B4B6E" w:rsidP="000B4B6E">
      <w:pPr>
        <w:shd w:val="clear" w:color="auto" w:fill="FFFFFF"/>
        <w:spacing w:before="240"/>
        <w:outlineLvl w:val="1"/>
        <w:rPr>
          <w:rFonts w:ascii="Arial" w:eastAsia="Times New Roman" w:hAnsi="Arial" w:cs="Arial"/>
          <w:b/>
          <w:bCs/>
          <w:color w:val="212121"/>
          <w:sz w:val="32"/>
          <w:szCs w:val="32"/>
        </w:rPr>
      </w:pPr>
      <w:r w:rsidRPr="000B4B6E">
        <w:rPr>
          <w:rFonts w:ascii="Arial" w:eastAsia="Times New Roman" w:hAnsi="Arial" w:cs="Arial"/>
          <w:b/>
          <w:bCs/>
          <w:color w:val="212121"/>
          <w:sz w:val="32"/>
          <w:szCs w:val="32"/>
        </w:rPr>
        <w:t>Opinion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Justice BLACKMUN delivered the opinion of the Court.</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1 For more than a century, this Court consistently and repeatedly has reaffirmed that racial discrimination by the State in jury selection offends the Equal Protection Clause. See, </w:t>
      </w:r>
      <w:r w:rsidRPr="000B4B6E">
        <w:rPr>
          <w:rFonts w:ascii="Arial" w:eastAsia="Times New Roman" w:hAnsi="Arial" w:cs="Arial"/>
          <w:i/>
          <w:iCs/>
          <w:color w:val="000000"/>
        </w:rPr>
        <w:t>e.g., Strauder v. West Virginia,</w:t>
      </w:r>
      <w:r w:rsidRPr="000B4B6E">
        <w:rPr>
          <w:rFonts w:ascii="Arial" w:eastAsia="Times New Roman" w:hAnsi="Arial" w:cs="Arial"/>
          <w:color w:val="000000"/>
        </w:rPr>
        <w:t> 100 U.S. 303, 25 L.Ed. 664 (1880). Last Term this Court held that racial discrimination in a civil litigant's exercise of peremptory challenges also violates the Equal Protection Clause. See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 (1991). Today, we are asked to decide whether the Constitution prohibits a </w:t>
      </w:r>
      <w:r w:rsidRPr="000B4B6E">
        <w:rPr>
          <w:rFonts w:ascii="Arial" w:eastAsia="Times New Roman" w:hAnsi="Arial" w:cs="Arial"/>
          <w:i/>
          <w:iCs/>
          <w:color w:val="000000"/>
        </w:rPr>
        <w:t>criminal defendant</w:t>
      </w:r>
      <w:r w:rsidRPr="000B4B6E">
        <w:rPr>
          <w:rFonts w:ascii="Arial" w:eastAsia="Times New Roman" w:hAnsi="Arial" w:cs="Arial"/>
          <w:color w:val="000000"/>
        </w:rPr>
        <w:t> from engaging in purposeful racial discrimination in the exercise of peremptory challenges.</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I</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On August 10, 1990, a grand jury sitting in Dougherty County, Ga., returned a six-count indictment charging respondents with aggravated assault and simple battery. See App. 2. The indictment alleged that respondents beat and assaulted Jerry and Myra Collins. Respondents are white; the alleged victims are African–Americans. Shortly after the events, a leaflet was widely distributed in the local African–American community reporting the assault and urging community residents not to patronize respondents' business.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Before jury selection began, the prosecution moved to prohibit respondents from exercising peremptory challenges in </w:t>
      </w:r>
      <w:r w:rsidRPr="000B4B6E">
        <w:rPr>
          <w:rFonts w:ascii="Arial" w:eastAsia="Times New Roman" w:hAnsi="Arial" w:cs="Arial"/>
          <w:color w:val="000000"/>
          <w:shd w:val="clear" w:color="auto" w:fill="FFFFFF"/>
        </w:rPr>
        <w:t>*45</w:t>
      </w:r>
      <w:r w:rsidRPr="000B4B6E">
        <w:rPr>
          <w:rFonts w:ascii="Arial" w:eastAsia="Times New Roman" w:hAnsi="Arial" w:cs="Arial"/>
          <w:color w:val="000000"/>
        </w:rPr>
        <w:t> a racially discriminatory manner. The State explained that it expected to show that the victims' race was a factor in the alleged assault. According to the State, counsel for respondents had indicated a clear intention to use peremptory strikes in a racially discriminatory manner, arguing that the circumstances of their case gave them the right to exclude African–American citizens from participating as jurors in the trial. Observing that 43 percent of the county's population is African–American, the State contended that, if a statistically representative panel is assembled for jury selection, 18 of the potential 42 jurors would be African–American.</w:t>
      </w:r>
      <w:r w:rsidRPr="000B4B6E">
        <w:rPr>
          <w:rFonts w:ascii="Arial" w:eastAsia="Times New Roman" w:hAnsi="Arial" w:cs="Arial"/>
          <w:color w:val="000000"/>
          <w:vertAlign w:val="superscript"/>
        </w:rPr>
        <w:t>1</w:t>
      </w:r>
      <w:r w:rsidRPr="000B4B6E">
        <w:rPr>
          <w:rFonts w:ascii="Arial" w:eastAsia="Times New Roman" w:hAnsi="Arial" w:cs="Arial"/>
          <w:color w:val="000000"/>
        </w:rPr>
        <w:t> With 20 peremptory challenges, respondents therefore would be able to remove all the African–American potential jurors.</w:t>
      </w:r>
      <w:r w:rsidRPr="000B4B6E">
        <w:rPr>
          <w:rFonts w:ascii="Arial" w:eastAsia="Times New Roman" w:hAnsi="Arial" w:cs="Arial"/>
          <w:color w:val="000000"/>
          <w:vertAlign w:val="superscript"/>
        </w:rPr>
        <w:t>2</w:t>
      </w:r>
      <w:r w:rsidRPr="000B4B6E">
        <w:rPr>
          <w:rFonts w:ascii="Arial" w:eastAsia="Times New Roman" w:hAnsi="Arial" w:cs="Arial"/>
          <w:color w:val="000000"/>
        </w:rPr>
        <w:t> Relying on </w:t>
      </w:r>
      <w:r w:rsidRPr="000B4B6E">
        <w:rPr>
          <w:rFonts w:ascii="Arial" w:eastAsia="Times New Roman" w:hAnsi="Arial" w:cs="Arial"/>
          <w:i/>
          <w:iCs/>
          <w:color w:val="000000"/>
        </w:rPr>
        <w:t>Batson v. Kentucky,</w:t>
      </w:r>
      <w:r w:rsidRPr="000B4B6E">
        <w:rPr>
          <w:rFonts w:ascii="Arial" w:eastAsia="Times New Roman" w:hAnsi="Arial" w:cs="Arial"/>
          <w:color w:val="000000"/>
        </w:rPr>
        <w:t> 476 U.S. 79, 106 S.Ct. 1712, 90 L.Ed.2d 69 (1986), the Sixth Amendment, and the Georgia Constitution, the State sought an order providing that, if it succeeded in making out a prima facie case of racial discrimination by respondents, the </w:t>
      </w:r>
      <w:r w:rsidRPr="000B4B6E">
        <w:rPr>
          <w:rFonts w:ascii="Arial" w:eastAsia="Times New Roman" w:hAnsi="Arial" w:cs="Arial"/>
          <w:color w:val="000000"/>
          <w:shd w:val="clear" w:color="auto" w:fill="FFFFFF"/>
        </w:rPr>
        <w:t>**2352</w:t>
      </w:r>
      <w:r w:rsidRPr="000B4B6E">
        <w:rPr>
          <w:rFonts w:ascii="Arial" w:eastAsia="Times New Roman" w:hAnsi="Arial" w:cs="Arial"/>
          <w:color w:val="000000"/>
        </w:rPr>
        <w:t> latter would be required to articulate a racially neutral explanation for peremptory challenges.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trial judge denied the State's motion, holding that “[n]either Georgia nor federal law prohibits criminal defendants from exercising peremptory strikes in a racially discriminatory manner.” App. 14. The issue was certified for immediate appeal. </w:t>
      </w:r>
      <w:r w:rsidRPr="000B4B6E">
        <w:rPr>
          <w:rFonts w:ascii="Arial" w:eastAsia="Times New Roman" w:hAnsi="Arial" w:cs="Arial"/>
          <w:i/>
          <w:iCs/>
          <w:color w:val="000000"/>
        </w:rPr>
        <w:t>Id.,</w:t>
      </w:r>
      <w:r w:rsidRPr="000B4B6E">
        <w:rPr>
          <w:rFonts w:ascii="Arial" w:eastAsia="Times New Roman" w:hAnsi="Arial" w:cs="Arial"/>
          <w:color w:val="000000"/>
        </w:rPr>
        <w:t> at 15 and 18.</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Supreme Court of Georgia, by a 4–to–3 vote, affirmed the trial court's ruling. 261 Ga. 473, 405 S.E.2d 688 (1991). The court acknowledged that in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 (1991), this Court had found that the exercise of a peremptory challenge in a racially discriminatory manner “would constitute an impermissible injury” to the excluded juror. 261 Ga., at 473, 405 S.E.2d, at 689. </w:t>
      </w:r>
      <w:r w:rsidRPr="000B4B6E">
        <w:rPr>
          <w:rFonts w:ascii="Arial" w:eastAsia="Times New Roman" w:hAnsi="Arial" w:cs="Arial"/>
          <w:color w:val="000000"/>
          <w:shd w:val="clear" w:color="auto" w:fill="FFFFFF"/>
        </w:rPr>
        <w:t>*46</w:t>
      </w:r>
      <w:r w:rsidRPr="000B4B6E">
        <w:rPr>
          <w:rFonts w:ascii="Arial" w:eastAsia="Times New Roman" w:hAnsi="Arial" w:cs="Arial"/>
          <w:color w:val="000000"/>
        </w:rPr>
        <w:t> The court noted, however, that </w:t>
      </w:r>
      <w:r w:rsidRPr="000B4B6E">
        <w:rPr>
          <w:rFonts w:ascii="Arial" w:eastAsia="Times New Roman" w:hAnsi="Arial" w:cs="Arial"/>
          <w:i/>
          <w:iCs/>
          <w:color w:val="000000"/>
        </w:rPr>
        <w:t>Edmonson</w:t>
      </w:r>
      <w:r w:rsidRPr="000B4B6E">
        <w:rPr>
          <w:rFonts w:ascii="Arial" w:eastAsia="Times New Roman" w:hAnsi="Arial" w:cs="Arial"/>
          <w:color w:val="000000"/>
        </w:rPr>
        <w:t> involved private civil litigants, not criminal defendants. “Bearing in mind the long history of jury trials as an essential element of the protection of human rights,” the court “decline[d] to diminish the free exercise of peremptory strikes by a criminal defendant.” 261 Ga., at 473, 405 S.E.2d, at 689. Three justices dissented, arguing that </w:t>
      </w:r>
      <w:r w:rsidRPr="000B4B6E">
        <w:rPr>
          <w:rFonts w:ascii="Arial" w:eastAsia="Times New Roman" w:hAnsi="Arial" w:cs="Arial"/>
          <w:i/>
          <w:iCs/>
          <w:color w:val="000000"/>
        </w:rPr>
        <w:t>Edmonson</w:t>
      </w:r>
      <w:r w:rsidRPr="000B4B6E">
        <w:rPr>
          <w:rFonts w:ascii="Arial" w:eastAsia="Times New Roman" w:hAnsi="Arial" w:cs="Arial"/>
          <w:color w:val="000000"/>
        </w:rPr>
        <w:t> and other decisions of this Court establish that racially based peremptory challenges by a criminal defendant violate the Constitution. 261 Ga., at 473, 405 S.E.2d, at 689 (Hunt, J.); </w:t>
      </w:r>
      <w:r w:rsidRPr="000B4B6E">
        <w:rPr>
          <w:rFonts w:ascii="Arial" w:eastAsia="Times New Roman" w:hAnsi="Arial" w:cs="Arial"/>
          <w:i/>
          <w:iCs/>
          <w:color w:val="000000"/>
        </w:rPr>
        <w:t>id.,</w:t>
      </w:r>
      <w:r w:rsidRPr="000B4B6E">
        <w:rPr>
          <w:rFonts w:ascii="Arial" w:eastAsia="Times New Roman" w:hAnsi="Arial" w:cs="Arial"/>
          <w:color w:val="000000"/>
        </w:rPr>
        <w:t> at 475, 405 S.E.2d, at 690 (Benham, J.); </w:t>
      </w:r>
      <w:r w:rsidRPr="000B4B6E">
        <w:rPr>
          <w:rFonts w:ascii="Arial" w:eastAsia="Times New Roman" w:hAnsi="Arial" w:cs="Arial"/>
          <w:i/>
          <w:iCs/>
          <w:color w:val="000000"/>
        </w:rPr>
        <w:t>id.,</w:t>
      </w:r>
      <w:r w:rsidRPr="000B4B6E">
        <w:rPr>
          <w:rFonts w:ascii="Arial" w:eastAsia="Times New Roman" w:hAnsi="Arial" w:cs="Arial"/>
          <w:color w:val="000000"/>
        </w:rPr>
        <w:t> at 479, 405 S.E.2d, at 693 (Fletcher, J.). A motion for reconsideration was denied. App. 60.</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We granted certiorari to resolve a question left open by our prior cases—whether the Constitution prohibits a criminal defendant from engaging in purposeful racial discrimination in the exercise of peremptory challenges.</w:t>
      </w:r>
      <w:r w:rsidRPr="000B4B6E">
        <w:rPr>
          <w:rFonts w:ascii="Arial" w:eastAsia="Times New Roman" w:hAnsi="Arial" w:cs="Arial"/>
          <w:color w:val="000000"/>
          <w:vertAlign w:val="superscript"/>
        </w:rPr>
        <w:t>3</w:t>
      </w:r>
      <w:r w:rsidRPr="000B4B6E">
        <w:rPr>
          <w:rFonts w:ascii="Arial" w:eastAsia="Times New Roman" w:hAnsi="Arial" w:cs="Arial"/>
          <w:color w:val="000000"/>
        </w:rPr>
        <w:t> 502 U.S. 937, 112 S.Ct. 370, 116 L.Ed.2d 322 (1991).</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II</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Over the last century, in an almost unbroken chain of decisions, this Court gradually has abolished race as a consideration for jury service. In </w:t>
      </w:r>
      <w:r w:rsidRPr="000B4B6E">
        <w:rPr>
          <w:rFonts w:ascii="Arial" w:eastAsia="Times New Roman" w:hAnsi="Arial" w:cs="Arial"/>
          <w:i/>
          <w:iCs/>
          <w:color w:val="000000"/>
        </w:rPr>
        <w:t>Strauder v. West Virginia,</w:t>
      </w:r>
      <w:r w:rsidRPr="000B4B6E">
        <w:rPr>
          <w:rFonts w:ascii="Arial" w:eastAsia="Times New Roman" w:hAnsi="Arial" w:cs="Arial"/>
          <w:color w:val="000000"/>
        </w:rPr>
        <w:t> 100 U.S. 303, 25 L.Ed. 664 (1880), the Court invalidated a state statute providing that only white men could serve as jurors. While stating that a defendant has no right to a “petit jury composed in whole or in part of persons of his own race,” </w:t>
      </w:r>
      <w:r w:rsidRPr="000B4B6E">
        <w:rPr>
          <w:rFonts w:ascii="Arial" w:eastAsia="Times New Roman" w:hAnsi="Arial" w:cs="Arial"/>
          <w:i/>
          <w:iCs/>
          <w:color w:val="000000"/>
        </w:rPr>
        <w:t>id.,</w:t>
      </w:r>
      <w:r w:rsidRPr="000B4B6E">
        <w:rPr>
          <w:rFonts w:ascii="Arial" w:eastAsia="Times New Roman" w:hAnsi="Arial" w:cs="Arial"/>
          <w:color w:val="000000"/>
        </w:rPr>
        <w:t> 100 U.S. at 305, the Court held that a defendant does have the right to be tried by a jury whose members are selected by nondiscriminatory criteria. See also </w:t>
      </w:r>
      <w:r w:rsidRPr="000B4B6E">
        <w:rPr>
          <w:rFonts w:ascii="Arial" w:eastAsia="Times New Roman" w:hAnsi="Arial" w:cs="Arial"/>
          <w:color w:val="000000"/>
          <w:shd w:val="clear" w:color="auto" w:fill="FFFFFF"/>
        </w:rPr>
        <w:t>*47</w:t>
      </w:r>
      <w:r w:rsidRPr="000B4B6E">
        <w:rPr>
          <w:rFonts w:ascii="Arial" w:eastAsia="Times New Roman" w:hAnsi="Arial" w:cs="Arial"/>
          <w:color w:val="000000"/>
        </w:rPr>
        <w:t> </w:t>
      </w:r>
      <w:r w:rsidRPr="000B4B6E">
        <w:rPr>
          <w:rFonts w:ascii="Arial" w:eastAsia="Times New Roman" w:hAnsi="Arial" w:cs="Arial"/>
          <w:i/>
          <w:iCs/>
          <w:color w:val="000000"/>
        </w:rPr>
        <w:t>Neal v. Delaware,</w:t>
      </w:r>
      <w:r w:rsidRPr="000B4B6E">
        <w:rPr>
          <w:rFonts w:ascii="Arial" w:eastAsia="Times New Roman" w:hAnsi="Arial" w:cs="Arial"/>
          <w:color w:val="000000"/>
        </w:rPr>
        <w:t> 103 U.S. 370, 397, 26 L.Ed. 567 (1881); </w:t>
      </w:r>
      <w:r w:rsidRPr="000B4B6E">
        <w:rPr>
          <w:rFonts w:ascii="Arial" w:eastAsia="Times New Roman" w:hAnsi="Arial" w:cs="Arial"/>
          <w:i/>
          <w:iCs/>
          <w:color w:val="000000"/>
        </w:rPr>
        <w:t>Norris v. Alabama,</w:t>
      </w:r>
      <w:r w:rsidRPr="000B4B6E">
        <w:rPr>
          <w:rFonts w:ascii="Arial" w:eastAsia="Times New Roman" w:hAnsi="Arial" w:cs="Arial"/>
          <w:color w:val="000000"/>
        </w:rPr>
        <w:t> 294 U.S. 587, 599, 55 S.Ct. 579, 584, 79 L.Ed. 1074 (1935) (State cannot exclude African–Americans from jury venire on false assumption that they, as a group, are not qualified to serve as jurors).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w:t>
      </w:r>
      <w:r w:rsidRPr="000B4B6E">
        <w:rPr>
          <w:rFonts w:ascii="Arial" w:eastAsia="Times New Roman" w:hAnsi="Arial" w:cs="Arial"/>
          <w:i/>
          <w:iCs/>
          <w:color w:val="000000"/>
        </w:rPr>
        <w:t>Swain v. Alabama,</w:t>
      </w:r>
      <w:r w:rsidRPr="000B4B6E">
        <w:rPr>
          <w:rFonts w:ascii="Arial" w:eastAsia="Times New Roman" w:hAnsi="Arial" w:cs="Arial"/>
          <w:color w:val="000000"/>
        </w:rPr>
        <w:t> 380 U.S. 202, 85 S.Ct. 824, 13 L.Ed.2d 759 (1965), the Court was confronted with the question whether an African–American defendant was denied equal protection by the State's exercise of peremptory challenges to exclude members of his race from the petit jury. </w:t>
      </w:r>
      <w:r w:rsidRPr="000B4B6E">
        <w:rPr>
          <w:rFonts w:ascii="Arial" w:eastAsia="Times New Roman" w:hAnsi="Arial" w:cs="Arial"/>
          <w:i/>
          <w:iCs/>
          <w:color w:val="000000"/>
        </w:rPr>
        <w:t>Id.,</w:t>
      </w:r>
      <w:r w:rsidRPr="000B4B6E">
        <w:rPr>
          <w:rFonts w:ascii="Arial" w:eastAsia="Times New Roman" w:hAnsi="Arial" w:cs="Arial"/>
          <w:color w:val="000000"/>
        </w:rPr>
        <w:t> at 209–210, 85 S.Ct., at 830. Although the Court rejected the defendant's attempt to establish an equal protection claim premised solely on the pattern of jury strikes in his own case, it acknowledged that proof of systematic exclusion of African–Americans through the use of peremptories over a period of time might establish such a violation. </w:t>
      </w:r>
      <w:r w:rsidRPr="000B4B6E">
        <w:rPr>
          <w:rFonts w:ascii="Arial" w:eastAsia="Times New Roman" w:hAnsi="Arial" w:cs="Arial"/>
          <w:i/>
          <w:iCs/>
          <w:color w:val="000000"/>
        </w:rPr>
        <w:t>Id.,</w:t>
      </w:r>
      <w:r w:rsidRPr="000B4B6E">
        <w:rPr>
          <w:rFonts w:ascii="Arial" w:eastAsia="Times New Roman" w:hAnsi="Arial" w:cs="Arial"/>
          <w:color w:val="000000"/>
        </w:rPr>
        <w:t> at 224–228, 85 S.Ct., at 838–840.</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w:t>
      </w:r>
      <w:r w:rsidRPr="000B4B6E">
        <w:rPr>
          <w:rFonts w:ascii="Arial" w:eastAsia="Times New Roman" w:hAnsi="Arial" w:cs="Arial"/>
          <w:i/>
          <w:iCs/>
          <w:color w:val="000000"/>
        </w:rPr>
        <w:t>Batson v. Kentucky,</w:t>
      </w:r>
      <w:r w:rsidRPr="000B4B6E">
        <w:rPr>
          <w:rFonts w:ascii="Arial" w:eastAsia="Times New Roman" w:hAnsi="Arial" w:cs="Arial"/>
          <w:color w:val="000000"/>
        </w:rPr>
        <w:t> 476 U.S. 79, 106 S.Ct. 1712, 90 L.Ed.2d 69 (1986), the Court discarded </w:t>
      </w:r>
      <w:r w:rsidRPr="000B4B6E">
        <w:rPr>
          <w:rFonts w:ascii="Arial" w:eastAsia="Times New Roman" w:hAnsi="Arial" w:cs="Arial"/>
          <w:i/>
          <w:iCs/>
          <w:color w:val="000000"/>
        </w:rPr>
        <w:t>Swain</w:t>
      </w:r>
      <w:r w:rsidRPr="000B4B6E">
        <w:rPr>
          <w:rFonts w:ascii="Arial" w:eastAsia="Times New Roman" w:hAnsi="Arial" w:cs="Arial"/>
          <w:color w:val="000000"/>
        </w:rPr>
        <w:t>'s evidentiary formulation. </w:t>
      </w:r>
      <w:r w:rsidRPr="000B4B6E">
        <w:rPr>
          <w:rFonts w:ascii="Arial" w:eastAsia="Times New Roman" w:hAnsi="Arial" w:cs="Arial"/>
          <w:color w:val="000000"/>
          <w:shd w:val="clear" w:color="auto" w:fill="FFFFFF"/>
        </w:rPr>
        <w:t>**2353</w:t>
      </w:r>
      <w:r w:rsidRPr="000B4B6E">
        <w:rPr>
          <w:rFonts w:ascii="Arial" w:eastAsia="Times New Roman" w:hAnsi="Arial" w:cs="Arial"/>
          <w:color w:val="000000"/>
        </w:rPr>
        <w:t> The </w:t>
      </w:r>
      <w:r w:rsidRPr="000B4B6E">
        <w:rPr>
          <w:rFonts w:ascii="Arial" w:eastAsia="Times New Roman" w:hAnsi="Arial" w:cs="Arial"/>
          <w:i/>
          <w:iCs/>
          <w:color w:val="000000"/>
        </w:rPr>
        <w:t>Batson</w:t>
      </w:r>
      <w:r w:rsidRPr="000B4B6E">
        <w:rPr>
          <w:rFonts w:ascii="Arial" w:eastAsia="Times New Roman" w:hAnsi="Arial" w:cs="Arial"/>
          <w:color w:val="000000"/>
        </w:rPr>
        <w:t> Court held that a defendant may establish a prima facie case of purposeful discrimination in selection of the petit jury based solely on the prosecutor's exercise of peremptory challenges at the defendant's trial. </w:t>
      </w:r>
      <w:r w:rsidRPr="000B4B6E">
        <w:rPr>
          <w:rFonts w:ascii="Arial" w:eastAsia="Times New Roman" w:hAnsi="Arial" w:cs="Arial"/>
          <w:i/>
          <w:iCs/>
          <w:color w:val="000000"/>
        </w:rPr>
        <w:t>Id.,</w:t>
      </w:r>
      <w:r w:rsidRPr="000B4B6E">
        <w:rPr>
          <w:rFonts w:ascii="Arial" w:eastAsia="Times New Roman" w:hAnsi="Arial" w:cs="Arial"/>
          <w:color w:val="000000"/>
        </w:rPr>
        <w:t> at 87, 106 S.Ct., at 1718. “Once the defendant makes a prima facie showing, the burden shifts to the State to come forward with a neutral explanation for challenging black jurors.” </w:t>
      </w:r>
      <w:r w:rsidRPr="000B4B6E">
        <w:rPr>
          <w:rFonts w:ascii="Arial" w:eastAsia="Times New Roman" w:hAnsi="Arial" w:cs="Arial"/>
          <w:i/>
          <w:iCs/>
          <w:color w:val="000000"/>
        </w:rPr>
        <w:t>Id.,</w:t>
      </w:r>
      <w:r w:rsidRPr="000B4B6E">
        <w:rPr>
          <w:rFonts w:ascii="Arial" w:eastAsia="Times New Roman" w:hAnsi="Arial" w:cs="Arial"/>
          <w:color w:val="000000"/>
        </w:rPr>
        <w:t> at 97, 106 S.Ct., at 1723.</w:t>
      </w:r>
      <w:r w:rsidRPr="000B4B6E">
        <w:rPr>
          <w:rFonts w:ascii="Arial" w:eastAsia="Times New Roman" w:hAnsi="Arial" w:cs="Arial"/>
          <w:color w:val="000000"/>
          <w:vertAlign w:val="superscript"/>
        </w:rPr>
        <w:t>4</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Last Term this Court applied the </w:t>
      </w:r>
      <w:r w:rsidRPr="000B4B6E">
        <w:rPr>
          <w:rFonts w:ascii="Arial" w:eastAsia="Times New Roman" w:hAnsi="Arial" w:cs="Arial"/>
          <w:i/>
          <w:iCs/>
          <w:color w:val="000000"/>
        </w:rPr>
        <w:t>Batson</w:t>
      </w:r>
      <w:r w:rsidRPr="000B4B6E">
        <w:rPr>
          <w:rFonts w:ascii="Arial" w:eastAsia="Times New Roman" w:hAnsi="Arial" w:cs="Arial"/>
          <w:color w:val="000000"/>
        </w:rPr>
        <w:t> framework in two other contexts. In </w:t>
      </w:r>
      <w:r w:rsidRPr="000B4B6E">
        <w:rPr>
          <w:rFonts w:ascii="Arial" w:eastAsia="Times New Roman" w:hAnsi="Arial" w:cs="Arial"/>
          <w:i/>
          <w:iCs/>
          <w:color w:val="000000"/>
        </w:rPr>
        <w:t>Powers v. Ohio,</w:t>
      </w:r>
      <w:r w:rsidRPr="000B4B6E">
        <w:rPr>
          <w:rFonts w:ascii="Arial" w:eastAsia="Times New Roman" w:hAnsi="Arial" w:cs="Arial"/>
          <w:color w:val="000000"/>
        </w:rPr>
        <w:t> 499 U.S. 400, 111 S.Ct. 1364, 113 L.Ed.2d 411 (1991), it held that in the trial of a white criminal defendant, a prosecutor is prohibited from excluding African–American jurors </w:t>
      </w:r>
      <w:r w:rsidRPr="000B4B6E">
        <w:rPr>
          <w:rFonts w:ascii="Arial" w:eastAsia="Times New Roman" w:hAnsi="Arial" w:cs="Arial"/>
          <w:color w:val="000000"/>
          <w:shd w:val="clear" w:color="auto" w:fill="FFFFFF"/>
        </w:rPr>
        <w:t>*48</w:t>
      </w:r>
      <w:r w:rsidRPr="000B4B6E">
        <w:rPr>
          <w:rFonts w:ascii="Arial" w:eastAsia="Times New Roman" w:hAnsi="Arial" w:cs="Arial"/>
          <w:color w:val="000000"/>
        </w:rPr>
        <w:t> on the basis of race. In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 (1991), the Court decided that in a civil case, private litigants cannot exercise their peremptory strikes in a racially discriminatory manner.</w:t>
      </w:r>
      <w:r w:rsidRPr="000B4B6E">
        <w:rPr>
          <w:rFonts w:ascii="Arial" w:eastAsia="Times New Roman" w:hAnsi="Arial" w:cs="Arial"/>
          <w:color w:val="000000"/>
          <w:vertAlign w:val="superscript"/>
        </w:rPr>
        <w:t>5</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deciding whether the Constitution prohibits criminal defendants from exercising racially discriminatory peremptory challenges, we must answer four questions. First, whether a criminal defendant's exercise of peremptory challenges in a racially discriminatory manner inflicts the harms addressed by </w:t>
      </w:r>
      <w:r w:rsidRPr="000B4B6E">
        <w:rPr>
          <w:rFonts w:ascii="Arial" w:eastAsia="Times New Roman" w:hAnsi="Arial" w:cs="Arial"/>
          <w:i/>
          <w:iCs/>
          <w:color w:val="000000"/>
        </w:rPr>
        <w:t>Batson.</w:t>
      </w:r>
      <w:r w:rsidRPr="000B4B6E">
        <w:rPr>
          <w:rFonts w:ascii="Arial" w:eastAsia="Times New Roman" w:hAnsi="Arial" w:cs="Arial"/>
          <w:color w:val="000000"/>
        </w:rPr>
        <w:t> Second, whether the exercise of peremptory challenges by a criminal defendant constitutes state action. Third, whether prosecutors have standing to raise this constitutional challenge. And fourth, whether the constitutional rights of a criminal defendant nonetheless preclude the extension of our precedents to this case.</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III</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A</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majority in </w:t>
      </w:r>
      <w:r w:rsidRPr="000B4B6E">
        <w:rPr>
          <w:rFonts w:ascii="Arial" w:eastAsia="Times New Roman" w:hAnsi="Arial" w:cs="Arial"/>
          <w:i/>
          <w:iCs/>
          <w:color w:val="000000"/>
        </w:rPr>
        <w:t>Powers</w:t>
      </w:r>
      <w:r w:rsidRPr="000B4B6E">
        <w:rPr>
          <w:rFonts w:ascii="Arial" w:eastAsia="Times New Roman" w:hAnsi="Arial" w:cs="Arial"/>
          <w:color w:val="000000"/>
        </w:rPr>
        <w:t> recognized that “</w:t>
      </w:r>
      <w:r w:rsidRPr="000B4B6E">
        <w:rPr>
          <w:rFonts w:ascii="Arial" w:eastAsia="Times New Roman" w:hAnsi="Arial" w:cs="Arial"/>
          <w:i/>
          <w:iCs/>
          <w:color w:val="000000"/>
        </w:rPr>
        <w:t>Batson</w:t>
      </w:r>
      <w:r w:rsidRPr="000B4B6E">
        <w:rPr>
          <w:rFonts w:ascii="Arial" w:eastAsia="Times New Roman" w:hAnsi="Arial" w:cs="Arial"/>
          <w:color w:val="000000"/>
        </w:rPr>
        <w:t> ‘was designed “to serve multiple ends,” ’ only one of which was to protect individual defendants from discrimination in the selection of jurors.” 499 U.S., at 406, 111 S.Ct., at 1368. As in </w:t>
      </w:r>
      <w:r w:rsidRPr="000B4B6E">
        <w:rPr>
          <w:rFonts w:ascii="Arial" w:eastAsia="Times New Roman" w:hAnsi="Arial" w:cs="Arial"/>
          <w:i/>
          <w:iCs/>
          <w:color w:val="000000"/>
        </w:rPr>
        <w:t>Powers</w:t>
      </w:r>
      <w:r w:rsidRPr="000B4B6E">
        <w:rPr>
          <w:rFonts w:ascii="Arial" w:eastAsia="Times New Roman" w:hAnsi="Arial" w:cs="Arial"/>
          <w:color w:val="000000"/>
        </w:rPr>
        <w:t> and </w:t>
      </w:r>
      <w:r w:rsidRPr="000B4B6E">
        <w:rPr>
          <w:rFonts w:ascii="Arial" w:eastAsia="Times New Roman" w:hAnsi="Arial" w:cs="Arial"/>
          <w:i/>
          <w:iCs/>
          <w:color w:val="000000"/>
        </w:rPr>
        <w:t>Edmonson,</w:t>
      </w:r>
      <w:r w:rsidRPr="000B4B6E">
        <w:rPr>
          <w:rFonts w:ascii="Arial" w:eastAsia="Times New Roman" w:hAnsi="Arial" w:cs="Arial"/>
          <w:color w:val="000000"/>
        </w:rPr>
        <w:t> the extension of </w:t>
      </w:r>
      <w:r w:rsidRPr="000B4B6E">
        <w:rPr>
          <w:rFonts w:ascii="Arial" w:eastAsia="Times New Roman" w:hAnsi="Arial" w:cs="Arial"/>
          <w:i/>
          <w:iCs/>
          <w:color w:val="000000"/>
        </w:rPr>
        <w:t>Batson</w:t>
      </w:r>
      <w:r w:rsidRPr="000B4B6E">
        <w:rPr>
          <w:rFonts w:ascii="Arial" w:eastAsia="Times New Roman" w:hAnsi="Arial" w:cs="Arial"/>
          <w:color w:val="000000"/>
        </w:rPr>
        <w:t> in this context is designed to remedy the harm done to the “dignity of persons” and to the “integrity of the courts.” </w:t>
      </w:r>
      <w:r w:rsidRPr="000B4B6E">
        <w:rPr>
          <w:rFonts w:ascii="Arial" w:eastAsia="Times New Roman" w:hAnsi="Arial" w:cs="Arial"/>
          <w:i/>
          <w:iCs/>
          <w:color w:val="000000"/>
        </w:rPr>
        <w:t>Powers,</w:t>
      </w:r>
      <w:r w:rsidRPr="000B4B6E">
        <w:rPr>
          <w:rFonts w:ascii="Arial" w:eastAsia="Times New Roman" w:hAnsi="Arial" w:cs="Arial"/>
          <w:color w:val="000000"/>
        </w:rPr>
        <w:t> 499 U.S., at 402, 111 S.Ct., at 1366.</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As long ago as </w:t>
      </w:r>
      <w:r w:rsidRPr="000B4B6E">
        <w:rPr>
          <w:rFonts w:ascii="Arial" w:eastAsia="Times New Roman" w:hAnsi="Arial" w:cs="Arial"/>
          <w:i/>
          <w:iCs/>
          <w:color w:val="000000"/>
        </w:rPr>
        <w:t>Strauder,</w:t>
      </w:r>
      <w:r w:rsidRPr="000B4B6E">
        <w:rPr>
          <w:rFonts w:ascii="Arial" w:eastAsia="Times New Roman" w:hAnsi="Arial" w:cs="Arial"/>
          <w:color w:val="000000"/>
        </w:rPr>
        <w:t> this Court recognized that denying a person participation in jury service on account of his race unconstitutionally discriminates against the excluded juror. 100 U.S., at 308. See also </w:t>
      </w:r>
      <w:r w:rsidRPr="000B4B6E">
        <w:rPr>
          <w:rFonts w:ascii="Arial" w:eastAsia="Times New Roman" w:hAnsi="Arial" w:cs="Arial"/>
          <w:i/>
          <w:iCs/>
          <w:color w:val="000000"/>
        </w:rPr>
        <w:t>Batson,</w:t>
      </w:r>
      <w:r w:rsidRPr="000B4B6E">
        <w:rPr>
          <w:rFonts w:ascii="Arial" w:eastAsia="Times New Roman" w:hAnsi="Arial" w:cs="Arial"/>
          <w:color w:val="000000"/>
        </w:rPr>
        <w:t> 476 U.S., at 87, 106 S.Ct., at 1718. While “[a]n individual juror does not have a right to sit on any particular petit jury, ... he or she does possess the right not to be excluded from one on account of race.” </w:t>
      </w:r>
      <w:r w:rsidRPr="000B4B6E">
        <w:rPr>
          <w:rFonts w:ascii="Arial" w:eastAsia="Times New Roman" w:hAnsi="Arial" w:cs="Arial"/>
          <w:color w:val="000000"/>
          <w:shd w:val="clear" w:color="auto" w:fill="FFFFFF"/>
        </w:rPr>
        <w:t>*49</w:t>
      </w:r>
      <w:r w:rsidRPr="000B4B6E">
        <w:rPr>
          <w:rFonts w:ascii="Arial" w:eastAsia="Times New Roman" w:hAnsi="Arial" w:cs="Arial"/>
          <w:color w:val="000000"/>
        </w:rPr>
        <w:t> </w:t>
      </w:r>
      <w:r w:rsidRPr="000B4B6E">
        <w:rPr>
          <w:rFonts w:ascii="Arial" w:eastAsia="Times New Roman" w:hAnsi="Arial" w:cs="Arial"/>
          <w:i/>
          <w:iCs/>
          <w:color w:val="000000"/>
        </w:rPr>
        <w:t>Powers,</w:t>
      </w:r>
      <w:r w:rsidRPr="000B4B6E">
        <w:rPr>
          <w:rFonts w:ascii="Arial" w:eastAsia="Times New Roman" w:hAnsi="Arial" w:cs="Arial"/>
          <w:color w:val="000000"/>
        </w:rPr>
        <w:t> 499 U.S., at 409, 111 S.Ct., at 1370. Regardless of who invokes the discriminatory challenge, there can be no doubt that the harm is the same—in all cases, the juror is subjected to open and public racial discrimination.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But “[t]he harm from discriminatory jury selection extends beyond that inflicted on the defendant and the excluded juror to touch the entire community.” </w:t>
      </w:r>
      <w:r w:rsidRPr="000B4B6E">
        <w:rPr>
          <w:rFonts w:ascii="Arial" w:eastAsia="Times New Roman" w:hAnsi="Arial" w:cs="Arial"/>
          <w:i/>
          <w:iCs/>
          <w:color w:val="000000"/>
        </w:rPr>
        <w:t>Batson,</w:t>
      </w:r>
      <w:r w:rsidRPr="000B4B6E">
        <w:rPr>
          <w:rFonts w:ascii="Arial" w:eastAsia="Times New Roman" w:hAnsi="Arial" w:cs="Arial"/>
          <w:color w:val="000000"/>
        </w:rPr>
        <w:t> 476 U.S., at 87, 106 S.Ct., at 1718. One of the goals of our jury system is “to impress upon the criminal defendant and the community as a whole that a verdict of conviction or acquittal is given in accordance with the law by persons who are fair.” </w:t>
      </w:r>
      <w:r w:rsidRPr="000B4B6E">
        <w:rPr>
          <w:rFonts w:ascii="Arial" w:eastAsia="Times New Roman" w:hAnsi="Arial" w:cs="Arial"/>
          <w:i/>
          <w:iCs/>
          <w:color w:val="000000"/>
        </w:rPr>
        <w:t>Powers,</w:t>
      </w:r>
      <w:r w:rsidRPr="000B4B6E">
        <w:rPr>
          <w:rFonts w:ascii="Arial" w:eastAsia="Times New Roman" w:hAnsi="Arial" w:cs="Arial"/>
          <w:color w:val="000000"/>
        </w:rPr>
        <w:t> 499 U.S., at 413, 111 S.Ct., at 1372. Selection procedures that purposefully exclude African–Americans </w:t>
      </w:r>
      <w:r w:rsidRPr="000B4B6E">
        <w:rPr>
          <w:rFonts w:ascii="Arial" w:eastAsia="Times New Roman" w:hAnsi="Arial" w:cs="Arial"/>
          <w:color w:val="000000"/>
          <w:shd w:val="clear" w:color="auto" w:fill="FFFFFF"/>
        </w:rPr>
        <w:t>**2354</w:t>
      </w:r>
      <w:r w:rsidRPr="000B4B6E">
        <w:rPr>
          <w:rFonts w:ascii="Arial" w:eastAsia="Times New Roman" w:hAnsi="Arial" w:cs="Arial"/>
          <w:color w:val="000000"/>
        </w:rPr>
        <w:t> from juries undermine that public confidence—as well they should. “The overt wrong, often apparent to the entire jury panel, casts doubt over the obligation of the parties, the jury, and indeed the court to adhere to the law throughout the trial of the cause.” </w:t>
      </w:r>
      <w:r w:rsidRPr="000B4B6E">
        <w:rPr>
          <w:rFonts w:ascii="Arial" w:eastAsia="Times New Roman" w:hAnsi="Arial" w:cs="Arial"/>
          <w:i/>
          <w:iCs/>
          <w:color w:val="000000"/>
        </w:rPr>
        <w:t>Id.,</w:t>
      </w:r>
      <w:r w:rsidRPr="000B4B6E">
        <w:rPr>
          <w:rFonts w:ascii="Arial" w:eastAsia="Times New Roman" w:hAnsi="Arial" w:cs="Arial"/>
          <w:color w:val="000000"/>
        </w:rPr>
        <w:t> at 412, 111 S.Ct., at 1371. See generally Underwood, Ending Race Discrimination in Jury Selection: Whose Right Is It, Anyway?, 92 Colum.L.Rev. 725, 748–750 (1992).</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need for public confidence is especially high in cases involving race-related crimes. In such cases, emotions in the affected community will inevitably be heated and volatile. Public confidence in the integrity of the criminal justice system is essential for preserving community peace in trials involving race-related crimes. See Alschuler, The Supreme Court and the Jury: Voir Dire, Peremptory Challenges, and the Review of Jury Verdicts, 56 U.Chi.L.Rev. 153, 195–196 (1989) (describing two trials in Miami, Fla., in which all African–American jurors were peremptorily struck by white defendants accused of racial beating, and the public outrage and riots that followed the defendants' acquittal).</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“[B]e it at the hands of the State or the defense,” if a court allows jurors to be excluded because of group bias, “[it] is [a] willing participant in a scheme that could only undermine the very foundation of our system of justice—our citizens' </w:t>
      </w:r>
      <w:r w:rsidRPr="000B4B6E">
        <w:rPr>
          <w:rFonts w:ascii="Arial" w:eastAsia="Times New Roman" w:hAnsi="Arial" w:cs="Arial"/>
          <w:color w:val="000000"/>
          <w:shd w:val="clear" w:color="auto" w:fill="FFFFFF"/>
        </w:rPr>
        <w:t>*50</w:t>
      </w:r>
      <w:r w:rsidRPr="000B4B6E">
        <w:rPr>
          <w:rFonts w:ascii="Arial" w:eastAsia="Times New Roman" w:hAnsi="Arial" w:cs="Arial"/>
          <w:color w:val="000000"/>
        </w:rPr>
        <w:t> confidence in it. </w:t>
      </w:r>
      <w:r w:rsidRPr="000B4B6E">
        <w:rPr>
          <w:rFonts w:ascii="Arial" w:eastAsia="Times New Roman" w:hAnsi="Arial" w:cs="Arial"/>
          <w:i/>
          <w:iCs/>
          <w:color w:val="000000"/>
        </w:rPr>
        <w:t>State v. Alvarado,</w:t>
      </w:r>
      <w:r w:rsidRPr="000B4B6E">
        <w:rPr>
          <w:rFonts w:ascii="Arial" w:eastAsia="Times New Roman" w:hAnsi="Arial" w:cs="Arial"/>
          <w:color w:val="000000"/>
        </w:rPr>
        <w:t> 221 N.J.Super. 324, 328, 534 A.2d 440, 442 (1987). Just as public confidence in criminal justice is undermined by a conviction in a trial where racial discrimination has occurred in jury selection, so is public confidence undermined where a defendant, assisted by racially discriminatory peremptory strikes, obtains an acquittal.</w:t>
      </w:r>
      <w:r w:rsidRPr="000B4B6E">
        <w:rPr>
          <w:rFonts w:ascii="Arial" w:eastAsia="Times New Roman" w:hAnsi="Arial" w:cs="Arial"/>
          <w:color w:val="000000"/>
          <w:vertAlign w:val="superscript"/>
        </w:rPr>
        <w:t>6</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B</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23 The fact that a defendant's use of discriminatory peremptory challenges harms the jurors and the community does not end our equal protection inquiry. Racial discrimination, although repugnant in all contexts, violates the Constitution only when it is attributable to state action. See </w:t>
      </w:r>
      <w:r w:rsidRPr="000B4B6E">
        <w:rPr>
          <w:rFonts w:ascii="Arial" w:eastAsia="Times New Roman" w:hAnsi="Arial" w:cs="Arial"/>
          <w:i/>
          <w:iCs/>
          <w:color w:val="000000"/>
        </w:rPr>
        <w:t>Moose Lodge No. 107 v. Irvis,</w:t>
      </w:r>
      <w:r w:rsidRPr="000B4B6E">
        <w:rPr>
          <w:rFonts w:ascii="Arial" w:eastAsia="Times New Roman" w:hAnsi="Arial" w:cs="Arial"/>
          <w:color w:val="000000"/>
        </w:rPr>
        <w:t> 407 U.S. 163, 172, 92 S.Ct. 1965, 1971, 32 L.Ed.2d 627 (1972). Thus, the second question that must be answered is whether a criminal defendant's exercise of a peremptory challenge constitutes state action for purposes of the Equal Protection Clause.</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Until </w:t>
      </w:r>
      <w:r w:rsidRPr="000B4B6E">
        <w:rPr>
          <w:rFonts w:ascii="Arial" w:eastAsia="Times New Roman" w:hAnsi="Arial" w:cs="Arial"/>
          <w:i/>
          <w:iCs/>
          <w:color w:val="000000"/>
        </w:rPr>
        <w:t>Edmonson,</w:t>
      </w:r>
      <w:r w:rsidRPr="000B4B6E">
        <w:rPr>
          <w:rFonts w:ascii="Arial" w:eastAsia="Times New Roman" w:hAnsi="Arial" w:cs="Arial"/>
          <w:color w:val="000000"/>
        </w:rPr>
        <w:t> the cases decided by this Court that presented the problem of racially discriminatory peremptory challenges involved assertions of discrimination by a prosecutor, a quintessential state actor. In </w:t>
      </w:r>
      <w:r w:rsidRPr="000B4B6E">
        <w:rPr>
          <w:rFonts w:ascii="Arial" w:eastAsia="Times New Roman" w:hAnsi="Arial" w:cs="Arial"/>
          <w:i/>
          <w:iCs/>
          <w:color w:val="000000"/>
        </w:rPr>
        <w:t>Edmonson,</w:t>
      </w:r>
      <w:r w:rsidRPr="000B4B6E">
        <w:rPr>
          <w:rFonts w:ascii="Arial" w:eastAsia="Times New Roman" w:hAnsi="Arial" w:cs="Arial"/>
          <w:color w:val="000000"/>
        </w:rPr>
        <w:t> by contrast, the contested peremptory challenges were exercised by a private defendant in a civil action. In order to determine whether state action was present in that setting, the </w:t>
      </w:r>
      <w:r w:rsidRPr="000B4B6E">
        <w:rPr>
          <w:rFonts w:ascii="Arial" w:eastAsia="Times New Roman" w:hAnsi="Arial" w:cs="Arial"/>
          <w:color w:val="000000"/>
          <w:shd w:val="clear" w:color="auto" w:fill="FFFFFF"/>
        </w:rPr>
        <w:t>*51</w:t>
      </w:r>
      <w:r w:rsidRPr="000B4B6E">
        <w:rPr>
          <w:rFonts w:ascii="Arial" w:eastAsia="Times New Roman" w:hAnsi="Arial" w:cs="Arial"/>
          <w:color w:val="000000"/>
        </w:rPr>
        <w:t> Court in </w:t>
      </w:r>
      <w:r w:rsidRPr="000B4B6E">
        <w:rPr>
          <w:rFonts w:ascii="Arial" w:eastAsia="Times New Roman" w:hAnsi="Arial" w:cs="Arial"/>
          <w:i/>
          <w:iCs/>
          <w:color w:val="000000"/>
        </w:rPr>
        <w:t>Edmonson</w:t>
      </w:r>
      <w:r w:rsidRPr="000B4B6E">
        <w:rPr>
          <w:rFonts w:ascii="Arial" w:eastAsia="Times New Roman" w:hAnsi="Arial" w:cs="Arial"/>
          <w:color w:val="000000"/>
        </w:rPr>
        <w:t> used the analytical framework summarized in </w:t>
      </w:r>
      <w:r w:rsidRPr="000B4B6E">
        <w:rPr>
          <w:rFonts w:ascii="Arial" w:eastAsia="Times New Roman" w:hAnsi="Arial" w:cs="Arial"/>
          <w:i/>
          <w:iCs/>
          <w:color w:val="000000"/>
        </w:rPr>
        <w:t>Lugar v. Edmondson Oil Co.,</w:t>
      </w:r>
      <w:r w:rsidRPr="000B4B6E">
        <w:rPr>
          <w:rFonts w:ascii="Arial" w:eastAsia="Times New Roman" w:hAnsi="Arial" w:cs="Arial"/>
          <w:color w:val="000000"/>
        </w:rPr>
        <w:t> 457 U.S. 922, 102 S.Ct. 2744, 73 L.Ed.2d 482 (1982).</w:t>
      </w:r>
      <w:r w:rsidRPr="000B4B6E">
        <w:rPr>
          <w:rFonts w:ascii="Arial" w:eastAsia="Times New Roman" w:hAnsi="Arial" w:cs="Arial"/>
          <w:color w:val="000000"/>
          <w:vertAlign w:val="superscript"/>
        </w:rPr>
        <w:t>7</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first inquiry is “whether the claimed [constitutional] deprivation has resulted from the exercise of a right or privilege having its source in state authority.” </w:t>
      </w:r>
      <w:r w:rsidRPr="000B4B6E">
        <w:rPr>
          <w:rFonts w:ascii="Arial" w:eastAsia="Times New Roman" w:hAnsi="Arial" w:cs="Arial"/>
          <w:i/>
          <w:iCs/>
          <w:color w:val="000000"/>
        </w:rPr>
        <w:t>Id.,</w:t>
      </w:r>
      <w:r w:rsidRPr="000B4B6E">
        <w:rPr>
          <w:rFonts w:ascii="Arial" w:eastAsia="Times New Roman" w:hAnsi="Arial" w:cs="Arial"/>
          <w:color w:val="000000"/>
        </w:rPr>
        <w:t> at 939, 102 S.Ct., at 2755. “There can be no question” </w:t>
      </w:r>
      <w:r w:rsidRPr="000B4B6E">
        <w:rPr>
          <w:rFonts w:ascii="Arial" w:eastAsia="Times New Roman" w:hAnsi="Arial" w:cs="Arial"/>
          <w:color w:val="000000"/>
          <w:shd w:val="clear" w:color="auto" w:fill="FFFFFF"/>
        </w:rPr>
        <w:t>**2355</w:t>
      </w:r>
      <w:r w:rsidRPr="000B4B6E">
        <w:rPr>
          <w:rFonts w:ascii="Arial" w:eastAsia="Times New Roman" w:hAnsi="Arial" w:cs="Arial"/>
          <w:color w:val="000000"/>
        </w:rPr>
        <w:t> that peremptory challenges satisfy this first requirement, as they “are permitted only when the government, by statute or decisional law, deems it appropriate to allow parties to exclude a given number of persons who otherwise would satisfy the requirements for service on the petit jury.” </w:t>
      </w:r>
      <w:r w:rsidRPr="000B4B6E">
        <w:rPr>
          <w:rFonts w:ascii="Arial" w:eastAsia="Times New Roman" w:hAnsi="Arial" w:cs="Arial"/>
          <w:i/>
          <w:iCs/>
          <w:color w:val="000000"/>
        </w:rPr>
        <w:t>Edmonson,</w:t>
      </w:r>
      <w:r w:rsidRPr="000B4B6E">
        <w:rPr>
          <w:rFonts w:ascii="Arial" w:eastAsia="Times New Roman" w:hAnsi="Arial" w:cs="Arial"/>
          <w:color w:val="000000"/>
        </w:rPr>
        <w:t> 500 U.S., at 620, 111 S.Ct., at 2083. As in </w:t>
      </w:r>
      <w:r w:rsidRPr="000B4B6E">
        <w:rPr>
          <w:rFonts w:ascii="Arial" w:eastAsia="Times New Roman" w:hAnsi="Arial" w:cs="Arial"/>
          <w:i/>
          <w:iCs/>
          <w:color w:val="000000"/>
        </w:rPr>
        <w:t>Edmonson,</w:t>
      </w:r>
      <w:r w:rsidRPr="000B4B6E">
        <w:rPr>
          <w:rFonts w:ascii="Arial" w:eastAsia="Times New Roman" w:hAnsi="Arial" w:cs="Arial"/>
          <w:color w:val="000000"/>
        </w:rPr>
        <w:t> a Georgia defendant's right to exercise peremptory challenges and the scope of that right are established by a provision of state law. Ga.Code Ann. § 15–12–165 (1990).</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second inquiry is whether the private party charged with the deprivation can be described as a state actor. See </w:t>
      </w:r>
      <w:r w:rsidRPr="000B4B6E">
        <w:rPr>
          <w:rFonts w:ascii="Arial" w:eastAsia="Times New Roman" w:hAnsi="Arial" w:cs="Arial"/>
          <w:i/>
          <w:iCs/>
          <w:color w:val="000000"/>
        </w:rPr>
        <w:t>Lugar,</w:t>
      </w:r>
      <w:r w:rsidRPr="000B4B6E">
        <w:rPr>
          <w:rFonts w:ascii="Arial" w:eastAsia="Times New Roman" w:hAnsi="Arial" w:cs="Arial"/>
          <w:color w:val="000000"/>
        </w:rPr>
        <w:t> 457 U.S., at 941–942, 102 S.Ct., at 2755–2756. In resolving that issue, the Court in </w:t>
      </w:r>
      <w:r w:rsidRPr="000B4B6E">
        <w:rPr>
          <w:rFonts w:ascii="Arial" w:eastAsia="Times New Roman" w:hAnsi="Arial" w:cs="Arial"/>
          <w:i/>
          <w:iCs/>
          <w:color w:val="000000"/>
        </w:rPr>
        <w:t>Edmonson</w:t>
      </w:r>
      <w:r w:rsidRPr="000B4B6E">
        <w:rPr>
          <w:rFonts w:ascii="Arial" w:eastAsia="Times New Roman" w:hAnsi="Arial" w:cs="Arial"/>
          <w:color w:val="000000"/>
        </w:rPr>
        <w:t> found it useful to apply three principles: (1) “the extent to which the actor relies on governmental assistance and benefits”; (2) “whether the actor is performing a traditional governmental function”; and (3) “whether the injury caused is aggravated in a unique way by the incidents of governmental authority.” 500 U.S., at 621–622, 111 S.Ct., at 2083.</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As to the first principle, the </w:t>
      </w:r>
      <w:r w:rsidRPr="000B4B6E">
        <w:rPr>
          <w:rFonts w:ascii="Arial" w:eastAsia="Times New Roman" w:hAnsi="Arial" w:cs="Arial"/>
          <w:i/>
          <w:iCs/>
          <w:color w:val="000000"/>
        </w:rPr>
        <w:t>Edmonson</w:t>
      </w:r>
      <w:r w:rsidRPr="000B4B6E">
        <w:rPr>
          <w:rFonts w:ascii="Arial" w:eastAsia="Times New Roman" w:hAnsi="Arial" w:cs="Arial"/>
          <w:color w:val="000000"/>
        </w:rPr>
        <w:t> Court found that the peremptory challenge system, as well as the jury system as a whole, “simply could not exist” without the “overt, significant participation of the government.” </w:t>
      </w:r>
      <w:r w:rsidRPr="000B4B6E">
        <w:rPr>
          <w:rFonts w:ascii="Arial" w:eastAsia="Times New Roman" w:hAnsi="Arial" w:cs="Arial"/>
          <w:i/>
          <w:iCs/>
          <w:color w:val="000000"/>
        </w:rPr>
        <w:t>Id.,</w:t>
      </w:r>
      <w:r w:rsidRPr="000B4B6E">
        <w:rPr>
          <w:rFonts w:ascii="Arial" w:eastAsia="Times New Roman" w:hAnsi="Arial" w:cs="Arial"/>
          <w:color w:val="000000"/>
        </w:rPr>
        <w:t> at 622, 111 S.Ct., at 2084. Georgia provides for the compilation of jury lists by the board of jury commissioners in each county and establishes the general criteria for service and the sources for creating a pool of qualified jurors representing a fair cross section of the community. Ga.Code Ann. § 15–12–40. State law further </w:t>
      </w:r>
      <w:r w:rsidRPr="000B4B6E">
        <w:rPr>
          <w:rFonts w:ascii="Arial" w:eastAsia="Times New Roman" w:hAnsi="Arial" w:cs="Arial"/>
          <w:color w:val="000000"/>
          <w:shd w:val="clear" w:color="auto" w:fill="FFFFFF"/>
        </w:rPr>
        <w:t>*52</w:t>
      </w:r>
      <w:r w:rsidRPr="000B4B6E">
        <w:rPr>
          <w:rFonts w:ascii="Arial" w:eastAsia="Times New Roman" w:hAnsi="Arial" w:cs="Arial"/>
          <w:color w:val="000000"/>
        </w:rPr>
        <w:t> provides that jurors are to be selected by a specified process, § 15–12–42; they are to be summoned to court under the authority of the State, § 15–12–120; and they are to be paid an expense allowance by the State whether or not they serve on a jury, § 15–12–9. At court, potential jurors are placed in panels in order to facilitate examination by counsel, § 15–12–131; they are administered an oath, § 15–12–132; they are questioned on </w:t>
      </w:r>
      <w:r w:rsidRPr="000B4B6E">
        <w:rPr>
          <w:rFonts w:ascii="Arial" w:eastAsia="Times New Roman" w:hAnsi="Arial" w:cs="Arial"/>
          <w:i/>
          <w:iCs/>
          <w:color w:val="000000"/>
        </w:rPr>
        <w:t>voir dire</w:t>
      </w:r>
      <w:r w:rsidRPr="000B4B6E">
        <w:rPr>
          <w:rFonts w:ascii="Arial" w:eastAsia="Times New Roman" w:hAnsi="Arial" w:cs="Arial"/>
          <w:color w:val="000000"/>
        </w:rPr>
        <w:t> to determine whether they are impartial, § 15–12–164; and they are subject to challenge for cause, § 15–12–163.</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light of these procedures, the defendant in a Georgia criminal case relies on “governmental assistance and benefits” that are equivalent to those found in the civil context in </w:t>
      </w:r>
      <w:r w:rsidRPr="000B4B6E">
        <w:rPr>
          <w:rFonts w:ascii="Arial" w:eastAsia="Times New Roman" w:hAnsi="Arial" w:cs="Arial"/>
          <w:i/>
          <w:iCs/>
          <w:color w:val="000000"/>
        </w:rPr>
        <w:t>Edmonson.</w:t>
      </w:r>
      <w:r w:rsidRPr="000B4B6E">
        <w:rPr>
          <w:rFonts w:ascii="Arial" w:eastAsia="Times New Roman" w:hAnsi="Arial" w:cs="Arial"/>
          <w:color w:val="000000"/>
        </w:rPr>
        <w:t> “By enforcing a discriminatory peremptory challenge, the Court ‘has ... elected to place its power, property and prestige behind the [alleged] discrimination.’ ” </w:t>
      </w:r>
      <w:r w:rsidRPr="000B4B6E">
        <w:rPr>
          <w:rFonts w:ascii="Arial" w:eastAsia="Times New Roman" w:hAnsi="Arial" w:cs="Arial"/>
          <w:i/>
          <w:iCs/>
          <w:color w:val="000000"/>
        </w:rPr>
        <w:t>Edmonson,</w:t>
      </w:r>
      <w:r w:rsidRPr="000B4B6E">
        <w:rPr>
          <w:rFonts w:ascii="Arial" w:eastAsia="Times New Roman" w:hAnsi="Arial" w:cs="Arial"/>
          <w:color w:val="000000"/>
        </w:rPr>
        <w:t> 500 U.S., at 624, 111 S.Ct., at 2085 (citation omitted).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4 In regard to the second principle, the Court in </w:t>
      </w:r>
      <w:r w:rsidRPr="000B4B6E">
        <w:rPr>
          <w:rFonts w:ascii="Arial" w:eastAsia="Times New Roman" w:hAnsi="Arial" w:cs="Arial"/>
          <w:i/>
          <w:iCs/>
          <w:color w:val="000000"/>
        </w:rPr>
        <w:t>Edmonson</w:t>
      </w:r>
      <w:r w:rsidRPr="000B4B6E">
        <w:rPr>
          <w:rFonts w:ascii="Arial" w:eastAsia="Times New Roman" w:hAnsi="Arial" w:cs="Arial"/>
          <w:color w:val="000000"/>
        </w:rPr>
        <w:t> found that peremptory challenges perform a traditional function of the government: “Their sole purpose is to permit litigants to assist the government in the selection of an impartial trier of fact.” </w:t>
      </w:r>
      <w:r w:rsidRPr="000B4B6E">
        <w:rPr>
          <w:rFonts w:ascii="Arial" w:eastAsia="Times New Roman" w:hAnsi="Arial" w:cs="Arial"/>
          <w:i/>
          <w:iCs/>
          <w:color w:val="000000"/>
        </w:rPr>
        <w:t>Id.,</w:t>
      </w:r>
      <w:r w:rsidRPr="000B4B6E">
        <w:rPr>
          <w:rFonts w:ascii="Arial" w:eastAsia="Times New Roman" w:hAnsi="Arial" w:cs="Arial"/>
          <w:color w:val="000000"/>
        </w:rPr>
        <w:t> at 620, 111 S.Ct., at 2083. And, as the </w:t>
      </w:r>
      <w:r w:rsidRPr="000B4B6E">
        <w:rPr>
          <w:rFonts w:ascii="Arial" w:eastAsia="Times New Roman" w:hAnsi="Arial" w:cs="Arial"/>
          <w:i/>
          <w:iCs/>
          <w:color w:val="000000"/>
        </w:rPr>
        <w:t>Edmonson</w:t>
      </w:r>
      <w:r w:rsidRPr="000B4B6E">
        <w:rPr>
          <w:rFonts w:ascii="Arial" w:eastAsia="Times New Roman" w:hAnsi="Arial" w:cs="Arial"/>
          <w:color w:val="000000"/>
        </w:rPr>
        <w:t> Court recognized, the jury system in turn “performs the critical governmental functions of guarding the rights of litigants and ‘ensur [ing] continued acceptance of the laws by all of the people’ ” </w:t>
      </w:r>
      <w:r w:rsidRPr="000B4B6E">
        <w:rPr>
          <w:rFonts w:ascii="Arial" w:eastAsia="Times New Roman" w:hAnsi="Arial" w:cs="Arial"/>
          <w:i/>
          <w:iCs/>
          <w:color w:val="000000"/>
        </w:rPr>
        <w:t>Id.,</w:t>
      </w:r>
      <w:r w:rsidRPr="000B4B6E">
        <w:rPr>
          <w:rFonts w:ascii="Arial" w:eastAsia="Times New Roman" w:hAnsi="Arial" w:cs="Arial"/>
          <w:color w:val="000000"/>
        </w:rPr>
        <w:t> at 624, 111 S.Ct., at 2085 (citation omitted). These same conclusions apply with even greater force in the criminal context because the selection of a jury in a criminal case fulfills a unique and constitutionally compelled governmental function. Compare </w:t>
      </w:r>
      <w:r w:rsidRPr="000B4B6E">
        <w:rPr>
          <w:rFonts w:ascii="Arial" w:eastAsia="Times New Roman" w:hAnsi="Arial" w:cs="Arial"/>
          <w:i/>
          <w:iCs/>
          <w:color w:val="000000"/>
        </w:rPr>
        <w:t>Duncan v. Louisiana,</w:t>
      </w:r>
      <w:r w:rsidRPr="000B4B6E">
        <w:rPr>
          <w:rFonts w:ascii="Arial" w:eastAsia="Times New Roman" w:hAnsi="Arial" w:cs="Arial"/>
          <w:color w:val="000000"/>
        </w:rPr>
        <w:t> 391 U.S. 145, 88 S.Ct. 1444, 20 L.Ed.2d 491 (1968) (making Sixth Amendment applicable to States through Fourteenth Amendment) with </w:t>
      </w:r>
      <w:r w:rsidRPr="000B4B6E">
        <w:rPr>
          <w:rFonts w:ascii="Arial" w:eastAsia="Times New Roman" w:hAnsi="Arial" w:cs="Arial"/>
          <w:i/>
          <w:iCs/>
          <w:color w:val="000000"/>
        </w:rPr>
        <w:t>Minneapolis &amp; St. Louis R. Co. v. Bombolis,</w:t>
      </w:r>
      <w:r w:rsidRPr="000B4B6E">
        <w:rPr>
          <w:rFonts w:ascii="Arial" w:eastAsia="Times New Roman" w:hAnsi="Arial" w:cs="Arial"/>
          <w:color w:val="000000"/>
        </w:rPr>
        <w:t> 241 U.S. 211, 36 S.Ct. 595, 60 L.Ed. 961 (1916) (States do not have a constitutional obligation to provide a jury trial in civil cases). </w:t>
      </w:r>
      <w:r w:rsidRPr="000B4B6E">
        <w:rPr>
          <w:rFonts w:ascii="Arial" w:eastAsia="Times New Roman" w:hAnsi="Arial" w:cs="Arial"/>
          <w:i/>
          <w:iCs/>
          <w:color w:val="000000"/>
        </w:rPr>
        <w:t>Cf. West v. Atkins,</w:t>
      </w:r>
      <w:r w:rsidRPr="000B4B6E">
        <w:rPr>
          <w:rFonts w:ascii="Arial" w:eastAsia="Times New Roman" w:hAnsi="Arial" w:cs="Arial"/>
          <w:color w:val="000000"/>
        </w:rPr>
        <w:t> 487 U.S. 42, 53, n. 10, 57, 108 S.Ct. 2250, 2257, n. 10, 2260, 101 L.Ed.2d 40 (1988) (private </w:t>
      </w:r>
      <w:r w:rsidRPr="000B4B6E">
        <w:rPr>
          <w:rFonts w:ascii="Arial" w:eastAsia="Times New Roman" w:hAnsi="Arial" w:cs="Arial"/>
          <w:color w:val="000000"/>
          <w:shd w:val="clear" w:color="auto" w:fill="FFFFFF"/>
        </w:rPr>
        <w:t>*53</w:t>
      </w:r>
      <w:r w:rsidRPr="000B4B6E">
        <w:rPr>
          <w:rFonts w:ascii="Arial" w:eastAsia="Times New Roman" w:hAnsi="Arial" w:cs="Arial"/>
          <w:color w:val="000000"/>
        </w:rPr>
        <w:t> physician hired by State to provide medical care to prisoners was state actor because doctor was hired to fulfill State's constitutional obligation to attend to necessary medical care of prison inmates). The State cannot avoid its constitutional responsibilities by delegating a public function to </w:t>
      </w:r>
      <w:r w:rsidRPr="000B4B6E">
        <w:rPr>
          <w:rFonts w:ascii="Arial" w:eastAsia="Times New Roman" w:hAnsi="Arial" w:cs="Arial"/>
          <w:color w:val="000000"/>
          <w:shd w:val="clear" w:color="auto" w:fill="FFFFFF"/>
        </w:rPr>
        <w:t>**2356</w:t>
      </w:r>
      <w:r w:rsidRPr="000B4B6E">
        <w:rPr>
          <w:rFonts w:ascii="Arial" w:eastAsia="Times New Roman" w:hAnsi="Arial" w:cs="Arial"/>
          <w:color w:val="000000"/>
        </w:rPr>
        <w:t> private parties. Cf. </w:t>
      </w:r>
      <w:r w:rsidRPr="000B4B6E">
        <w:rPr>
          <w:rFonts w:ascii="Arial" w:eastAsia="Times New Roman" w:hAnsi="Arial" w:cs="Arial"/>
          <w:i/>
          <w:iCs/>
          <w:color w:val="000000"/>
        </w:rPr>
        <w:t>Terry v. Adams,</w:t>
      </w:r>
      <w:r w:rsidRPr="000B4B6E">
        <w:rPr>
          <w:rFonts w:ascii="Arial" w:eastAsia="Times New Roman" w:hAnsi="Arial" w:cs="Arial"/>
          <w:color w:val="000000"/>
        </w:rPr>
        <w:t> 345 U.S. 461, 73 S.Ct. 809, 97 L.Ed. 1152 (1953) (private political party's determination of qualifications for primary voters held to constitute state action).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Finally, the </w:t>
      </w:r>
      <w:r w:rsidRPr="000B4B6E">
        <w:rPr>
          <w:rFonts w:ascii="Arial" w:eastAsia="Times New Roman" w:hAnsi="Arial" w:cs="Arial"/>
          <w:i/>
          <w:iCs/>
          <w:color w:val="000000"/>
        </w:rPr>
        <w:t>Edmonson</w:t>
      </w:r>
      <w:r w:rsidRPr="000B4B6E">
        <w:rPr>
          <w:rFonts w:ascii="Arial" w:eastAsia="Times New Roman" w:hAnsi="Arial" w:cs="Arial"/>
          <w:color w:val="000000"/>
        </w:rPr>
        <w:t> Court indicated that the courtroom setting in which the peremptory challenge is exercised intensifies the harmful effects of the private litigant's discriminatory act and contributes to its characterization as state action. These concerns are equally present in the context of a criminal trial. Regardless of who precipitated the jurors' removal, the perception and the reality in a criminal trial will be that the court has excused jurors based on race, an outcome that will be attributed to the State.</w:t>
      </w:r>
      <w:r w:rsidRPr="000B4B6E">
        <w:rPr>
          <w:rFonts w:ascii="Arial" w:eastAsia="Times New Roman" w:hAnsi="Arial" w:cs="Arial"/>
          <w:color w:val="000000"/>
          <w:vertAlign w:val="superscript"/>
        </w:rPr>
        <w:t>8</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Respondents nonetheless contend that the adversarial relationship between the defendant and the prosecution negates the governmental character of the peremptory challenge. Respondents rely on </w:t>
      </w:r>
      <w:r w:rsidRPr="000B4B6E">
        <w:rPr>
          <w:rFonts w:ascii="Arial" w:eastAsia="Times New Roman" w:hAnsi="Arial" w:cs="Arial"/>
          <w:i/>
          <w:iCs/>
          <w:color w:val="000000"/>
        </w:rPr>
        <w:t>Polk County v. Dodson,</w:t>
      </w:r>
      <w:r w:rsidRPr="000B4B6E">
        <w:rPr>
          <w:rFonts w:ascii="Arial" w:eastAsia="Times New Roman" w:hAnsi="Arial" w:cs="Arial"/>
          <w:color w:val="000000"/>
        </w:rPr>
        <w:t> 454 U.S. 312, 102 S.Ct. 445, 70 L.Ed.2d 509 (1981), in which a defendant sued, under 42 U.S.C. § 1983, the public defender who represented him. The defendant claimed that the public defender had violated his constitutional rights in failing to provide adequate representation. This Court determined that a public defender does not qualify as a state actor when engaged in his general representation of a criminal defendant.</w:t>
      </w:r>
      <w:r w:rsidRPr="000B4B6E">
        <w:rPr>
          <w:rFonts w:ascii="Arial" w:eastAsia="Times New Roman" w:hAnsi="Arial" w:cs="Arial"/>
          <w:color w:val="000000"/>
          <w:vertAlign w:val="superscript"/>
        </w:rPr>
        <w:t>9</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shd w:val="clear" w:color="auto" w:fill="FFFFFF"/>
        </w:rPr>
        <w:t>*54</w:t>
      </w:r>
      <w:r w:rsidRPr="000B4B6E">
        <w:rPr>
          <w:rFonts w:ascii="Arial" w:eastAsia="Times New Roman" w:hAnsi="Arial" w:cs="Arial"/>
          <w:color w:val="000000"/>
        </w:rPr>
        <w:t> </w:t>
      </w:r>
      <w:r w:rsidRPr="000B4B6E">
        <w:rPr>
          <w:rFonts w:ascii="Arial" w:eastAsia="Times New Roman" w:hAnsi="Arial" w:cs="Arial"/>
          <w:i/>
          <w:iCs/>
          <w:color w:val="000000"/>
        </w:rPr>
        <w:t>Polk County</w:t>
      </w:r>
      <w:r w:rsidRPr="000B4B6E">
        <w:rPr>
          <w:rFonts w:ascii="Arial" w:eastAsia="Times New Roman" w:hAnsi="Arial" w:cs="Arial"/>
          <w:color w:val="000000"/>
        </w:rPr>
        <w:t> did not hold that the adversarial relationship of a public defender with the State precludes a finding of state action—it held that this adversarial relationship prevented the attorney's public employment from </w:t>
      </w:r>
      <w:r w:rsidRPr="000B4B6E">
        <w:rPr>
          <w:rFonts w:ascii="Arial" w:eastAsia="Times New Roman" w:hAnsi="Arial" w:cs="Arial"/>
          <w:i/>
          <w:iCs/>
          <w:color w:val="000000"/>
        </w:rPr>
        <w:t>alone</w:t>
      </w:r>
      <w:r w:rsidRPr="000B4B6E">
        <w:rPr>
          <w:rFonts w:ascii="Arial" w:eastAsia="Times New Roman" w:hAnsi="Arial" w:cs="Arial"/>
          <w:color w:val="000000"/>
        </w:rPr>
        <w:t> being sufficient to support a finding of state action. Instead, the determination whether a public defender is a state actor for a particular purpose depends on the nature and context of the function he is performing. For example, in </w:t>
      </w:r>
      <w:r w:rsidRPr="000B4B6E">
        <w:rPr>
          <w:rFonts w:ascii="Arial" w:eastAsia="Times New Roman" w:hAnsi="Arial" w:cs="Arial"/>
          <w:i/>
          <w:iCs/>
          <w:color w:val="000000"/>
        </w:rPr>
        <w:t>Branti v. Finkel,</w:t>
      </w:r>
      <w:r w:rsidRPr="000B4B6E">
        <w:rPr>
          <w:rFonts w:ascii="Arial" w:eastAsia="Times New Roman" w:hAnsi="Arial" w:cs="Arial"/>
          <w:color w:val="000000"/>
        </w:rPr>
        <w:t> 445 U.S. 507, 100 S.Ct. 1287, 63 L.Ed.2d 574 (1980), this Court held that a public defender, in making personnel decisions on behalf of the State, is a state actor who must comply with constitutional requirements. And the </w:t>
      </w:r>
      <w:r w:rsidRPr="000B4B6E">
        <w:rPr>
          <w:rFonts w:ascii="Arial" w:eastAsia="Times New Roman" w:hAnsi="Arial" w:cs="Arial"/>
          <w:i/>
          <w:iCs/>
          <w:color w:val="000000"/>
        </w:rPr>
        <w:t>Polk County</w:t>
      </w:r>
      <w:r w:rsidRPr="000B4B6E">
        <w:rPr>
          <w:rFonts w:ascii="Arial" w:eastAsia="Times New Roman" w:hAnsi="Arial" w:cs="Arial"/>
          <w:color w:val="000000"/>
        </w:rPr>
        <w:t> Court itself noted, without deciding, that a public defender may act under color of state law while performing certain administrative, and possibly investigative, functions. See 454 U.S., at 325, 102 S.Ct., at 453.</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exercise of a peremptory challenge differs significantly from other actions taken in support of a defendant's defense. In exercising a peremptory challenge, a criminal defendant is wielding the power to choose a quintessential governmental body—indeed, the institution of government on which our judicial system depends. Thus, as we held in </w:t>
      </w:r>
      <w:r w:rsidRPr="000B4B6E">
        <w:rPr>
          <w:rFonts w:ascii="Arial" w:eastAsia="Times New Roman" w:hAnsi="Arial" w:cs="Arial"/>
          <w:i/>
          <w:iCs/>
          <w:color w:val="000000"/>
        </w:rPr>
        <w:t>Edmonson,</w:t>
      </w:r>
      <w:r w:rsidRPr="000B4B6E">
        <w:rPr>
          <w:rFonts w:ascii="Arial" w:eastAsia="Times New Roman" w:hAnsi="Arial" w:cs="Arial"/>
          <w:color w:val="000000"/>
        </w:rPr>
        <w:t> when “a government confers on a private body the power to choose the government's employees or officials, the private body will be bound by the constitutional mandate of race neutrality.” 500 U.S., at 625, 111 S.Ct., at 2085.</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Lastly, the fact that a defendant exercises a peremptory challenge to further his interest in acquittal does not conflict with a finding of state action. Whenever a private actor's conduct is deemed “fairly attributable” to the government, it is likely that private motives will have animated the actor's decision. Indeed, in </w:t>
      </w:r>
      <w:r w:rsidRPr="000B4B6E">
        <w:rPr>
          <w:rFonts w:ascii="Arial" w:eastAsia="Times New Roman" w:hAnsi="Arial" w:cs="Arial"/>
          <w:i/>
          <w:iCs/>
          <w:color w:val="000000"/>
        </w:rPr>
        <w:t>Edmonson,</w:t>
      </w:r>
      <w:r w:rsidRPr="000B4B6E">
        <w:rPr>
          <w:rFonts w:ascii="Arial" w:eastAsia="Times New Roman" w:hAnsi="Arial" w:cs="Arial"/>
          <w:color w:val="000000"/>
        </w:rPr>
        <w:t> the Court recognized that the private party's exercise of peremptory challenges constituted </w:t>
      </w:r>
      <w:r w:rsidRPr="000B4B6E">
        <w:rPr>
          <w:rFonts w:ascii="Arial" w:eastAsia="Times New Roman" w:hAnsi="Arial" w:cs="Arial"/>
          <w:color w:val="000000"/>
          <w:shd w:val="clear" w:color="auto" w:fill="FFFFFF"/>
        </w:rPr>
        <w:t>*55</w:t>
      </w:r>
      <w:r w:rsidRPr="000B4B6E">
        <w:rPr>
          <w:rFonts w:ascii="Arial" w:eastAsia="Times New Roman" w:hAnsi="Arial" w:cs="Arial"/>
          <w:color w:val="000000"/>
        </w:rPr>
        <w:t> state action, even though the motive underlying the exercise of the peremptory challenge may be </w:t>
      </w:r>
      <w:r w:rsidRPr="000B4B6E">
        <w:rPr>
          <w:rFonts w:ascii="Arial" w:eastAsia="Times New Roman" w:hAnsi="Arial" w:cs="Arial"/>
          <w:color w:val="000000"/>
          <w:shd w:val="clear" w:color="auto" w:fill="FFFFFF"/>
        </w:rPr>
        <w:t>**2357</w:t>
      </w:r>
      <w:r w:rsidRPr="000B4B6E">
        <w:rPr>
          <w:rFonts w:ascii="Arial" w:eastAsia="Times New Roman" w:hAnsi="Arial" w:cs="Arial"/>
          <w:color w:val="000000"/>
        </w:rPr>
        <w:t> to protect a private interest. See </w:t>
      </w:r>
      <w:r w:rsidRPr="000B4B6E">
        <w:rPr>
          <w:rFonts w:ascii="Arial" w:eastAsia="Times New Roman" w:hAnsi="Arial" w:cs="Arial"/>
          <w:i/>
          <w:iCs/>
          <w:color w:val="000000"/>
        </w:rPr>
        <w:t>id.,</w:t>
      </w:r>
      <w:r w:rsidRPr="000B4B6E">
        <w:rPr>
          <w:rFonts w:ascii="Arial" w:eastAsia="Times New Roman" w:hAnsi="Arial" w:cs="Arial"/>
          <w:color w:val="000000"/>
        </w:rPr>
        <w:t> at 626, 111 S.Ct., at 2086.</w:t>
      </w:r>
      <w:r w:rsidRPr="000B4B6E">
        <w:rPr>
          <w:rFonts w:ascii="Arial" w:eastAsia="Times New Roman" w:hAnsi="Arial" w:cs="Arial"/>
          <w:color w:val="000000"/>
          <w:vertAlign w:val="superscript"/>
        </w:rPr>
        <w:t>10</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C</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5 Having held that a defendant's discriminatory exercise of a peremptory challenge is a violation of equal protection, we move to the question whether the State has standing to challenge a defendant's discriminatory use of peremptory challenges. In </w:t>
      </w:r>
      <w:r w:rsidRPr="000B4B6E">
        <w:rPr>
          <w:rFonts w:ascii="Arial" w:eastAsia="Times New Roman" w:hAnsi="Arial" w:cs="Arial"/>
          <w:i/>
          <w:iCs/>
          <w:color w:val="000000"/>
        </w:rPr>
        <w:t>Powers,</w:t>
      </w:r>
      <w:r w:rsidRPr="000B4B6E">
        <w:rPr>
          <w:rFonts w:ascii="Arial" w:eastAsia="Times New Roman" w:hAnsi="Arial" w:cs="Arial"/>
          <w:color w:val="000000"/>
        </w:rPr>
        <w:t> 499 U.S., at 416, 111 S.Ct., at 1373, this Court held that a white criminal defendant has standing to raise the equal protection rights of black jurors wrongfully excluded from jury service. While third-party standing is a limited exception, the </w:t>
      </w:r>
      <w:r w:rsidRPr="000B4B6E">
        <w:rPr>
          <w:rFonts w:ascii="Arial" w:eastAsia="Times New Roman" w:hAnsi="Arial" w:cs="Arial"/>
          <w:i/>
          <w:iCs/>
          <w:color w:val="000000"/>
        </w:rPr>
        <w:t>Powers</w:t>
      </w:r>
      <w:r w:rsidRPr="000B4B6E">
        <w:rPr>
          <w:rFonts w:ascii="Arial" w:eastAsia="Times New Roman" w:hAnsi="Arial" w:cs="Arial"/>
          <w:color w:val="000000"/>
        </w:rPr>
        <w:t> Court recognized that a litigant may raise a claim on behalf of a third party if the litigant can demonstrate that he has suffered a concrete injury, that he has a close relation to the third party, and that there exists some hindrance to the third party's ability to protect its own interests. </w:t>
      </w:r>
      <w:r w:rsidRPr="000B4B6E">
        <w:rPr>
          <w:rFonts w:ascii="Arial" w:eastAsia="Times New Roman" w:hAnsi="Arial" w:cs="Arial"/>
          <w:i/>
          <w:iCs/>
          <w:color w:val="000000"/>
        </w:rPr>
        <w:t>Id.,</w:t>
      </w:r>
      <w:r w:rsidRPr="000B4B6E">
        <w:rPr>
          <w:rFonts w:ascii="Arial" w:eastAsia="Times New Roman" w:hAnsi="Arial" w:cs="Arial"/>
          <w:color w:val="000000"/>
        </w:rPr>
        <w:t> at 411, 111 S.Ct., at 1370–1371. In </w:t>
      </w:r>
      <w:r w:rsidRPr="000B4B6E">
        <w:rPr>
          <w:rFonts w:ascii="Arial" w:eastAsia="Times New Roman" w:hAnsi="Arial" w:cs="Arial"/>
          <w:i/>
          <w:iCs/>
          <w:color w:val="000000"/>
        </w:rPr>
        <w:t>Edmonson,</w:t>
      </w:r>
      <w:r w:rsidRPr="000B4B6E">
        <w:rPr>
          <w:rFonts w:ascii="Arial" w:eastAsia="Times New Roman" w:hAnsi="Arial" w:cs="Arial"/>
          <w:color w:val="000000"/>
        </w:rPr>
        <w:t> the Court applied the same analysis in deciding that civil litigants had standing to raise the equal protection rights of jurors excluded on the basis of their race.</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applying the first prong of its standing analysis, the </w:t>
      </w:r>
      <w:r w:rsidRPr="000B4B6E">
        <w:rPr>
          <w:rFonts w:ascii="Arial" w:eastAsia="Times New Roman" w:hAnsi="Arial" w:cs="Arial"/>
          <w:i/>
          <w:iCs/>
          <w:color w:val="000000"/>
        </w:rPr>
        <w:t>Powers</w:t>
      </w:r>
      <w:r w:rsidRPr="000B4B6E">
        <w:rPr>
          <w:rFonts w:ascii="Arial" w:eastAsia="Times New Roman" w:hAnsi="Arial" w:cs="Arial"/>
          <w:color w:val="000000"/>
        </w:rPr>
        <w:t> Court found that a criminal defendant suffered cognizable </w:t>
      </w:r>
      <w:r w:rsidRPr="000B4B6E">
        <w:rPr>
          <w:rFonts w:ascii="Arial" w:eastAsia="Times New Roman" w:hAnsi="Arial" w:cs="Arial"/>
          <w:color w:val="000000"/>
          <w:shd w:val="clear" w:color="auto" w:fill="FFFFFF"/>
        </w:rPr>
        <w:t>*56</w:t>
      </w:r>
      <w:r w:rsidRPr="000B4B6E">
        <w:rPr>
          <w:rFonts w:ascii="Arial" w:eastAsia="Times New Roman" w:hAnsi="Arial" w:cs="Arial"/>
          <w:color w:val="000000"/>
        </w:rPr>
        <w:t> injury “because racial discrimination in the selection of jurors ‘casts doubt on the integrity of the judicial process,’ and places the fairness of a criminal proceeding in doubt.” 499 U.S., at 411, 111 S.Ct., at 1371 (citation omitted). In </w:t>
      </w:r>
      <w:r w:rsidRPr="000B4B6E">
        <w:rPr>
          <w:rFonts w:ascii="Arial" w:eastAsia="Times New Roman" w:hAnsi="Arial" w:cs="Arial"/>
          <w:i/>
          <w:iCs/>
          <w:color w:val="000000"/>
        </w:rPr>
        <w:t>Edmonson,</w:t>
      </w:r>
      <w:r w:rsidRPr="000B4B6E">
        <w:rPr>
          <w:rFonts w:ascii="Arial" w:eastAsia="Times New Roman" w:hAnsi="Arial" w:cs="Arial"/>
          <w:color w:val="000000"/>
        </w:rPr>
        <w:t> this Court found that these harms were not limited to the criminal sphere. 500 U.S., at 630, 111 S.Ct., at 2088. Surely, a State suffers a similar injury when the fairness and integrity of its own judicial process is undermined.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applying the second prong of its standing analysis, the </w:t>
      </w:r>
      <w:r w:rsidRPr="000B4B6E">
        <w:rPr>
          <w:rFonts w:ascii="Arial" w:eastAsia="Times New Roman" w:hAnsi="Arial" w:cs="Arial"/>
          <w:i/>
          <w:iCs/>
          <w:color w:val="000000"/>
        </w:rPr>
        <w:t>Powers</w:t>
      </w:r>
      <w:r w:rsidRPr="000B4B6E">
        <w:rPr>
          <w:rFonts w:ascii="Arial" w:eastAsia="Times New Roman" w:hAnsi="Arial" w:cs="Arial"/>
          <w:color w:val="000000"/>
        </w:rPr>
        <w:t> Court held that </w:t>
      </w:r>
      <w:r w:rsidRPr="000B4B6E">
        <w:rPr>
          <w:rFonts w:ascii="Arial" w:eastAsia="Times New Roman" w:hAnsi="Arial" w:cs="Arial"/>
          <w:i/>
          <w:iCs/>
          <w:color w:val="000000"/>
        </w:rPr>
        <w:t>voir dire</w:t>
      </w:r>
      <w:r w:rsidRPr="000B4B6E">
        <w:rPr>
          <w:rFonts w:ascii="Arial" w:eastAsia="Times New Roman" w:hAnsi="Arial" w:cs="Arial"/>
          <w:color w:val="000000"/>
        </w:rPr>
        <w:t> permits a defendant to “establish a relation, if not a bond of trust, with the jurors,” a relation that “continues throughout the entire trial.” 499 U.S., at 413, 111 S.Ct., at 1372. “Exclusion of a juror on the basis of race severs that relation in an invidious way.” </w:t>
      </w:r>
      <w:r w:rsidRPr="000B4B6E">
        <w:rPr>
          <w:rFonts w:ascii="Arial" w:eastAsia="Times New Roman" w:hAnsi="Arial" w:cs="Arial"/>
          <w:i/>
          <w:iCs/>
          <w:color w:val="000000"/>
        </w:rPr>
        <w:t>Edmonson,</w:t>
      </w:r>
      <w:r w:rsidRPr="000B4B6E">
        <w:rPr>
          <w:rFonts w:ascii="Arial" w:eastAsia="Times New Roman" w:hAnsi="Arial" w:cs="Arial"/>
          <w:color w:val="000000"/>
        </w:rPr>
        <w:t> 500 U.S., at 629, 111 S.Ct., at 2088.</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State's relation to potential jurors in this case is closer than the relationships approved in </w:t>
      </w:r>
      <w:r w:rsidRPr="000B4B6E">
        <w:rPr>
          <w:rFonts w:ascii="Arial" w:eastAsia="Times New Roman" w:hAnsi="Arial" w:cs="Arial"/>
          <w:i/>
          <w:iCs/>
          <w:color w:val="000000"/>
        </w:rPr>
        <w:t>Powers</w:t>
      </w:r>
      <w:r w:rsidRPr="000B4B6E">
        <w:rPr>
          <w:rFonts w:ascii="Arial" w:eastAsia="Times New Roman" w:hAnsi="Arial" w:cs="Arial"/>
          <w:color w:val="000000"/>
        </w:rPr>
        <w:t> and </w:t>
      </w:r>
      <w:r w:rsidRPr="000B4B6E">
        <w:rPr>
          <w:rFonts w:ascii="Arial" w:eastAsia="Times New Roman" w:hAnsi="Arial" w:cs="Arial"/>
          <w:i/>
          <w:iCs/>
          <w:color w:val="000000"/>
        </w:rPr>
        <w:t>Edmonson.</w:t>
      </w:r>
      <w:r w:rsidRPr="000B4B6E">
        <w:rPr>
          <w:rFonts w:ascii="Arial" w:eastAsia="Times New Roman" w:hAnsi="Arial" w:cs="Arial"/>
          <w:color w:val="000000"/>
        </w:rPr>
        <w:t> As the representative of all its citizens, the State is the logical and proper party to assert the invasion of the constitutional rights of the excluded jurors in a criminal trial. Indeed, the Fourteenth Amendment forbids the State to deny persons within its jurisdiction the equal protection of the laws.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applying the final prong of its standing analysis, the </w:t>
      </w:r>
      <w:r w:rsidRPr="000B4B6E">
        <w:rPr>
          <w:rFonts w:ascii="Arial" w:eastAsia="Times New Roman" w:hAnsi="Arial" w:cs="Arial"/>
          <w:i/>
          <w:iCs/>
          <w:color w:val="000000"/>
        </w:rPr>
        <w:t>Powers</w:t>
      </w:r>
      <w:r w:rsidRPr="000B4B6E">
        <w:rPr>
          <w:rFonts w:ascii="Arial" w:eastAsia="Times New Roman" w:hAnsi="Arial" w:cs="Arial"/>
          <w:color w:val="000000"/>
        </w:rPr>
        <w:t> Court recognized that, although individuals excluded from jury service on the basis of race have a right to bring suit on their own behalf, the “barriers to a suit by an excluded juror are daunting.” 499 U.S., at 414, 111 S.Ct., at 1373. See also </w:t>
      </w:r>
      <w:r w:rsidRPr="000B4B6E">
        <w:rPr>
          <w:rFonts w:ascii="Arial" w:eastAsia="Times New Roman" w:hAnsi="Arial" w:cs="Arial"/>
          <w:i/>
          <w:iCs/>
          <w:color w:val="000000"/>
        </w:rPr>
        <w:t>Edmonson,</w:t>
      </w:r>
      <w:r w:rsidRPr="000B4B6E">
        <w:rPr>
          <w:rFonts w:ascii="Arial" w:eastAsia="Times New Roman" w:hAnsi="Arial" w:cs="Arial"/>
          <w:color w:val="000000"/>
        </w:rPr>
        <w:t> 500 U.S., at 629, 111 S.Ct., at 2087. The barriers are no less formidable in this context. See Note, Discrimination by the Defense: Peremptory Challenges after </w:t>
      </w:r>
      <w:r w:rsidRPr="000B4B6E">
        <w:rPr>
          <w:rFonts w:ascii="Arial" w:eastAsia="Times New Roman" w:hAnsi="Arial" w:cs="Arial"/>
          <w:i/>
          <w:iCs/>
          <w:color w:val="000000"/>
        </w:rPr>
        <w:t>Batson v. Kentucky,</w:t>
      </w:r>
      <w:r w:rsidRPr="000B4B6E">
        <w:rPr>
          <w:rFonts w:ascii="Arial" w:eastAsia="Times New Roman" w:hAnsi="Arial" w:cs="Arial"/>
          <w:color w:val="000000"/>
        </w:rPr>
        <w:t> 88 Colum.L.Rev., at 367 (1988); Underwood, 92 Colum.L.Rev. 355, 757 (summarizing barriers to suit by excluded juror). Accordingly, we hold that the State has standing to assert the excluded jurors' rights.</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*57 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67 The final question is whether the interests served by </w:t>
      </w:r>
      <w:r w:rsidRPr="000B4B6E">
        <w:rPr>
          <w:rFonts w:ascii="Arial" w:eastAsia="Times New Roman" w:hAnsi="Arial" w:cs="Arial"/>
          <w:i/>
          <w:iCs/>
          <w:color w:val="000000"/>
        </w:rPr>
        <w:t>Batson</w:t>
      </w:r>
      <w:r w:rsidRPr="000B4B6E">
        <w:rPr>
          <w:rFonts w:ascii="Arial" w:eastAsia="Times New Roman" w:hAnsi="Arial" w:cs="Arial"/>
          <w:color w:val="000000"/>
        </w:rPr>
        <w:t> must give way to </w:t>
      </w:r>
      <w:r w:rsidRPr="000B4B6E">
        <w:rPr>
          <w:rFonts w:ascii="Arial" w:eastAsia="Times New Roman" w:hAnsi="Arial" w:cs="Arial"/>
          <w:color w:val="000000"/>
          <w:shd w:val="clear" w:color="auto" w:fill="FFFFFF"/>
        </w:rPr>
        <w:t>**2358</w:t>
      </w:r>
      <w:r w:rsidRPr="000B4B6E">
        <w:rPr>
          <w:rFonts w:ascii="Arial" w:eastAsia="Times New Roman" w:hAnsi="Arial" w:cs="Arial"/>
          <w:color w:val="000000"/>
        </w:rPr>
        <w:t> the rights of a criminal defendant. As a preliminary matter, it is important to recall that peremptory challenges are not constitutionally protected fundamental rights; rather, they are but one state-created means to the constitutional end of an impartial jury and a fair trial. This Court repeatedly has stated that the right to a peremptory challenge may be withheld altogether without impairing the constitutional guarantee of an impartial jury and a fair trial. See </w:t>
      </w:r>
      <w:r w:rsidRPr="000B4B6E">
        <w:rPr>
          <w:rFonts w:ascii="Arial" w:eastAsia="Times New Roman" w:hAnsi="Arial" w:cs="Arial"/>
          <w:i/>
          <w:iCs/>
          <w:color w:val="000000"/>
        </w:rPr>
        <w:t>Frazier v. United States,</w:t>
      </w:r>
      <w:r w:rsidRPr="000B4B6E">
        <w:rPr>
          <w:rFonts w:ascii="Arial" w:eastAsia="Times New Roman" w:hAnsi="Arial" w:cs="Arial"/>
          <w:color w:val="000000"/>
        </w:rPr>
        <w:t> 335 U.S. 497, 505, n. 11, 69 S.Ct. 201, 206, n. 11, 93 L.Ed. 187 (1948); </w:t>
      </w:r>
      <w:r w:rsidRPr="000B4B6E">
        <w:rPr>
          <w:rFonts w:ascii="Arial" w:eastAsia="Times New Roman" w:hAnsi="Arial" w:cs="Arial"/>
          <w:i/>
          <w:iCs/>
          <w:color w:val="000000"/>
        </w:rPr>
        <w:t>United States v. Wood,</w:t>
      </w:r>
      <w:r w:rsidRPr="000B4B6E">
        <w:rPr>
          <w:rFonts w:ascii="Arial" w:eastAsia="Times New Roman" w:hAnsi="Arial" w:cs="Arial"/>
          <w:color w:val="000000"/>
        </w:rPr>
        <w:t> 299 U.S. 123, 145, 57 S.Ct. 177, 185, 81 L.Ed. 78 (1936); </w:t>
      </w:r>
      <w:r w:rsidRPr="000B4B6E">
        <w:rPr>
          <w:rFonts w:ascii="Arial" w:eastAsia="Times New Roman" w:hAnsi="Arial" w:cs="Arial"/>
          <w:i/>
          <w:iCs/>
          <w:color w:val="000000"/>
        </w:rPr>
        <w:t>Stilson v. United States,</w:t>
      </w:r>
      <w:r w:rsidRPr="000B4B6E">
        <w:rPr>
          <w:rFonts w:ascii="Arial" w:eastAsia="Times New Roman" w:hAnsi="Arial" w:cs="Arial"/>
          <w:color w:val="000000"/>
        </w:rPr>
        <w:t> 250 U.S. 583, 586, 40 S.Ct. 28, 29–30, 63 L.Ed. 1154 (1919); see also </w:t>
      </w:r>
      <w:r w:rsidRPr="000B4B6E">
        <w:rPr>
          <w:rFonts w:ascii="Arial" w:eastAsia="Times New Roman" w:hAnsi="Arial" w:cs="Arial"/>
          <w:i/>
          <w:iCs/>
          <w:color w:val="000000"/>
        </w:rPr>
        <w:t>Swain,</w:t>
      </w:r>
      <w:r w:rsidRPr="000B4B6E">
        <w:rPr>
          <w:rFonts w:ascii="Arial" w:eastAsia="Times New Roman" w:hAnsi="Arial" w:cs="Arial"/>
          <w:color w:val="000000"/>
        </w:rPr>
        <w:t> 380 U.S., at 219, 85 S.Ct., at 835.</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Yet in </w:t>
      </w:r>
      <w:r w:rsidRPr="000B4B6E">
        <w:rPr>
          <w:rFonts w:ascii="Arial" w:eastAsia="Times New Roman" w:hAnsi="Arial" w:cs="Arial"/>
          <w:i/>
          <w:iCs/>
          <w:color w:val="000000"/>
        </w:rPr>
        <w:t>Swain,</w:t>
      </w:r>
      <w:r w:rsidRPr="000B4B6E">
        <w:rPr>
          <w:rFonts w:ascii="Arial" w:eastAsia="Times New Roman" w:hAnsi="Arial" w:cs="Arial"/>
          <w:color w:val="000000"/>
        </w:rPr>
        <w:t> the Court reviewed the “very old credentials,” </w:t>
      </w:r>
      <w:r w:rsidRPr="000B4B6E">
        <w:rPr>
          <w:rFonts w:ascii="Arial" w:eastAsia="Times New Roman" w:hAnsi="Arial" w:cs="Arial"/>
          <w:i/>
          <w:iCs/>
          <w:color w:val="000000"/>
        </w:rPr>
        <w:t>id.,</w:t>
      </w:r>
      <w:r w:rsidRPr="000B4B6E">
        <w:rPr>
          <w:rFonts w:ascii="Arial" w:eastAsia="Times New Roman" w:hAnsi="Arial" w:cs="Arial"/>
          <w:color w:val="000000"/>
        </w:rPr>
        <w:t> at 212, 85 S.Ct., at 831, of the peremptory challenge and noted the “long and widely held belief that the peremptory challenge is a necessary part of trial by jury,” </w:t>
      </w:r>
      <w:r w:rsidRPr="000B4B6E">
        <w:rPr>
          <w:rFonts w:ascii="Arial" w:eastAsia="Times New Roman" w:hAnsi="Arial" w:cs="Arial"/>
          <w:i/>
          <w:iCs/>
          <w:color w:val="000000"/>
        </w:rPr>
        <w:t>id.,</w:t>
      </w:r>
      <w:r w:rsidRPr="000B4B6E">
        <w:rPr>
          <w:rFonts w:ascii="Arial" w:eastAsia="Times New Roman" w:hAnsi="Arial" w:cs="Arial"/>
          <w:color w:val="000000"/>
        </w:rPr>
        <w:t> at 219, 85 S.Ct., at 835; see </w:t>
      </w:r>
      <w:r w:rsidRPr="000B4B6E">
        <w:rPr>
          <w:rFonts w:ascii="Arial" w:eastAsia="Times New Roman" w:hAnsi="Arial" w:cs="Arial"/>
          <w:i/>
          <w:iCs/>
          <w:color w:val="000000"/>
        </w:rPr>
        <w:t>id.,</w:t>
      </w:r>
      <w:r w:rsidRPr="000B4B6E">
        <w:rPr>
          <w:rFonts w:ascii="Arial" w:eastAsia="Times New Roman" w:hAnsi="Arial" w:cs="Arial"/>
          <w:color w:val="000000"/>
        </w:rPr>
        <w:t> at 212–219, 85 S.Ct., at 831–835. This Court likewise has recognized that “the role of litigants in determining the jury's composition provides one reason for wide acceptance of the jury system and of its verdicts.” </w:t>
      </w:r>
      <w:r w:rsidRPr="000B4B6E">
        <w:rPr>
          <w:rFonts w:ascii="Arial" w:eastAsia="Times New Roman" w:hAnsi="Arial" w:cs="Arial"/>
          <w:i/>
          <w:iCs/>
          <w:color w:val="000000"/>
        </w:rPr>
        <w:t>Edmonson,</w:t>
      </w:r>
      <w:r w:rsidRPr="000B4B6E">
        <w:rPr>
          <w:rFonts w:ascii="Arial" w:eastAsia="Times New Roman" w:hAnsi="Arial" w:cs="Arial"/>
          <w:color w:val="000000"/>
        </w:rPr>
        <w:t> 500 U.S., at 630, 111 S.Ct., at 2088.</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We do not believe that this decision will undermine the contribution of the peremptory challenge to the administration of justice. Nonetheless, “if race stereotypes are the price for acceptance of a jury panel as fair,” we reaffirm today that such a “price is too high to meet the standard of the Constitution.” </w:t>
      </w:r>
      <w:r w:rsidRPr="000B4B6E">
        <w:rPr>
          <w:rFonts w:ascii="Arial" w:eastAsia="Times New Roman" w:hAnsi="Arial" w:cs="Arial"/>
          <w:i/>
          <w:iCs/>
          <w:color w:val="000000"/>
        </w:rPr>
        <w:t>Id.,</w:t>
      </w:r>
      <w:r w:rsidRPr="000B4B6E">
        <w:rPr>
          <w:rFonts w:ascii="Arial" w:eastAsia="Times New Roman" w:hAnsi="Arial" w:cs="Arial"/>
          <w:color w:val="000000"/>
        </w:rPr>
        <w:t> at 630, 111 S.Ct., at 2088. Defense counsel is limited to “legitimate, lawful conduct.” </w:t>
      </w:r>
      <w:r w:rsidRPr="000B4B6E">
        <w:rPr>
          <w:rFonts w:ascii="Arial" w:eastAsia="Times New Roman" w:hAnsi="Arial" w:cs="Arial"/>
          <w:i/>
          <w:iCs/>
          <w:color w:val="000000"/>
        </w:rPr>
        <w:t>Nix v. Whiteside,</w:t>
      </w:r>
      <w:r w:rsidRPr="000B4B6E">
        <w:rPr>
          <w:rFonts w:ascii="Arial" w:eastAsia="Times New Roman" w:hAnsi="Arial" w:cs="Arial"/>
          <w:color w:val="000000"/>
        </w:rPr>
        <w:t> 475 U.S. 157, 166, 106 S.Ct. 988, 994, 89 L.Ed.2d 123 (1986) (defense counsel does not render ineffective assistance when he informs his client that he would disclose the client's perjury to the court and move to withdraw from representation). It is an affront to justice to argue that a fair trial includes the right to discriminate against a group of citizens based upon their race.</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shd w:val="clear" w:color="auto" w:fill="FFFFFF"/>
        </w:rPr>
        <w:t>*58</w:t>
      </w:r>
      <w:r w:rsidRPr="000B4B6E">
        <w:rPr>
          <w:rFonts w:ascii="Arial" w:eastAsia="Times New Roman" w:hAnsi="Arial" w:cs="Arial"/>
          <w:color w:val="000000"/>
        </w:rPr>
        <w:t> 89 Nor does a prohibition of the exercise of discriminatory peremptory challenges violate a defendant's Sixth Amendment right to the effective assistance of counsel. Counsel can ordinarily explain the reasons for peremptory challenges without revealing anything about trial strategy or any confidential client communications. In the rare case in which the explanation for a challenge would entail confidential communications or reveal trial strategy, an </w:t>
      </w:r>
      <w:r w:rsidRPr="000B4B6E">
        <w:rPr>
          <w:rFonts w:ascii="Arial" w:eastAsia="Times New Roman" w:hAnsi="Arial" w:cs="Arial"/>
          <w:i/>
          <w:iCs/>
          <w:color w:val="000000"/>
        </w:rPr>
        <w:t>in camera</w:t>
      </w:r>
      <w:r w:rsidRPr="000B4B6E">
        <w:rPr>
          <w:rFonts w:ascii="Arial" w:eastAsia="Times New Roman" w:hAnsi="Arial" w:cs="Arial"/>
          <w:color w:val="000000"/>
        </w:rPr>
        <w:t> discussion can be arranged. See </w:t>
      </w:r>
      <w:r w:rsidRPr="000B4B6E">
        <w:rPr>
          <w:rFonts w:ascii="Arial" w:eastAsia="Times New Roman" w:hAnsi="Arial" w:cs="Arial"/>
          <w:i/>
          <w:iCs/>
          <w:color w:val="000000"/>
        </w:rPr>
        <w:t>United States v. Zolin,</w:t>
      </w:r>
      <w:r w:rsidRPr="000B4B6E">
        <w:rPr>
          <w:rFonts w:ascii="Arial" w:eastAsia="Times New Roman" w:hAnsi="Arial" w:cs="Arial"/>
          <w:color w:val="000000"/>
        </w:rPr>
        <w:t> 491 U.S. 554, 109 S.Ct. 2619, 105 L.Ed.2d 469 (1989); cf. </w:t>
      </w:r>
      <w:r w:rsidRPr="000B4B6E">
        <w:rPr>
          <w:rFonts w:ascii="Arial" w:eastAsia="Times New Roman" w:hAnsi="Arial" w:cs="Arial"/>
          <w:i/>
          <w:iCs/>
          <w:color w:val="000000"/>
        </w:rPr>
        <w:t>Batson,</w:t>
      </w:r>
      <w:r w:rsidRPr="000B4B6E">
        <w:rPr>
          <w:rFonts w:ascii="Arial" w:eastAsia="Times New Roman" w:hAnsi="Arial" w:cs="Arial"/>
          <w:color w:val="000000"/>
        </w:rPr>
        <w:t> 476 U.S., at 97, 106 S.Ct., at 1723 (expressing confidence that trial judges can develop procedures to implement the Court's holding). In any event, neither the Sixth Amendment right nor the attorney-client privilege gives a criminal defendant the right to carry out through counsel an unlawful course of conduct. See </w:t>
      </w:r>
      <w:r w:rsidRPr="000B4B6E">
        <w:rPr>
          <w:rFonts w:ascii="Arial" w:eastAsia="Times New Roman" w:hAnsi="Arial" w:cs="Arial"/>
          <w:i/>
          <w:iCs/>
          <w:color w:val="000000"/>
        </w:rPr>
        <w:t>Nix,</w:t>
      </w:r>
      <w:r w:rsidRPr="000B4B6E">
        <w:rPr>
          <w:rFonts w:ascii="Arial" w:eastAsia="Times New Roman" w:hAnsi="Arial" w:cs="Arial"/>
          <w:color w:val="000000"/>
        </w:rPr>
        <w:t> 475 U.S., at 166, 106 S.Ct., at 994; </w:t>
      </w:r>
      <w:r w:rsidRPr="000B4B6E">
        <w:rPr>
          <w:rFonts w:ascii="Arial" w:eastAsia="Times New Roman" w:hAnsi="Arial" w:cs="Arial"/>
          <w:i/>
          <w:iCs/>
          <w:color w:val="000000"/>
        </w:rPr>
        <w:t>Zolin,</w:t>
      </w:r>
      <w:r w:rsidRPr="000B4B6E">
        <w:rPr>
          <w:rFonts w:ascii="Arial" w:eastAsia="Times New Roman" w:hAnsi="Arial" w:cs="Arial"/>
          <w:color w:val="000000"/>
        </w:rPr>
        <w:t> 491 U.S., at 562–563, 109 S.Ct. at 2625–2626. See Swift, Defendants, Racism and the Peremptory Challenge, 22 Colum.Hum.Rights L.Rev. 177, 207–208 (1991).</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10 Lastly, a prohibition of the discriminatory exercise of peremptory challenges does not violate a defendant's Sixth Amendment right to a trial by an impartial jury. The goal of the Sixth Amendment is “jury impartiality with respect to both contestants.” </w:t>
      </w:r>
      <w:r w:rsidRPr="000B4B6E">
        <w:rPr>
          <w:rFonts w:ascii="Arial" w:eastAsia="Times New Roman" w:hAnsi="Arial" w:cs="Arial"/>
          <w:i/>
          <w:iCs/>
          <w:color w:val="000000"/>
        </w:rPr>
        <w:t>Holland v. Illinois,</w:t>
      </w:r>
      <w:r w:rsidRPr="000B4B6E">
        <w:rPr>
          <w:rFonts w:ascii="Arial" w:eastAsia="Times New Roman" w:hAnsi="Arial" w:cs="Arial"/>
          <w:color w:val="000000"/>
        </w:rPr>
        <w:t> 493 U.S. 474, 483, 110 S.Ct. 803, 809, 107 L.Ed.2d 905 (1990). See also </w:t>
      </w:r>
      <w:r w:rsidRPr="000B4B6E">
        <w:rPr>
          <w:rFonts w:ascii="Arial" w:eastAsia="Times New Roman" w:hAnsi="Arial" w:cs="Arial"/>
          <w:i/>
          <w:iCs/>
          <w:color w:val="000000"/>
        </w:rPr>
        <w:t>Hayes v. Missouri,</w:t>
      </w:r>
      <w:r w:rsidRPr="000B4B6E">
        <w:rPr>
          <w:rFonts w:ascii="Arial" w:eastAsia="Times New Roman" w:hAnsi="Arial" w:cs="Arial"/>
          <w:color w:val="000000"/>
        </w:rPr>
        <w:t> 120 U.S. 68, 7 S.Ct. 350, 30 L.Ed. 578 (1887).</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11 We recognize, of course, that a defendant has the right to an impartial jury that can view him without racial animus, which so long has distorted our system of criminal justice. We have, accordingly, held that there should be a mechanism for removing those on the venire whom the defendant has specific reason to believe would be incapable of confronting and suppressing their </w:t>
      </w:r>
      <w:r w:rsidRPr="000B4B6E">
        <w:rPr>
          <w:rFonts w:ascii="Arial" w:eastAsia="Times New Roman" w:hAnsi="Arial" w:cs="Arial"/>
          <w:color w:val="000000"/>
          <w:shd w:val="clear" w:color="auto" w:fill="FFFFFF"/>
        </w:rPr>
        <w:t>**2359</w:t>
      </w:r>
      <w:r w:rsidRPr="000B4B6E">
        <w:rPr>
          <w:rFonts w:ascii="Arial" w:eastAsia="Times New Roman" w:hAnsi="Arial" w:cs="Arial"/>
          <w:color w:val="000000"/>
        </w:rPr>
        <w:t> racism. See </w:t>
      </w:r>
      <w:r w:rsidRPr="000B4B6E">
        <w:rPr>
          <w:rFonts w:ascii="Arial" w:eastAsia="Times New Roman" w:hAnsi="Arial" w:cs="Arial"/>
          <w:i/>
          <w:iCs/>
          <w:color w:val="000000"/>
        </w:rPr>
        <w:t>Ham v. South Carolina,</w:t>
      </w:r>
      <w:r w:rsidRPr="000B4B6E">
        <w:rPr>
          <w:rFonts w:ascii="Arial" w:eastAsia="Times New Roman" w:hAnsi="Arial" w:cs="Arial"/>
          <w:color w:val="000000"/>
        </w:rPr>
        <w:t> 409 U.S. 524, 526–527, 93 S.Ct. 848, 850–851, 35 L.Ed.2d 46 (1973); </w:t>
      </w:r>
      <w:r w:rsidRPr="000B4B6E">
        <w:rPr>
          <w:rFonts w:ascii="Arial" w:eastAsia="Times New Roman" w:hAnsi="Arial" w:cs="Arial"/>
          <w:i/>
          <w:iCs/>
          <w:color w:val="000000"/>
        </w:rPr>
        <w:t>Rosales–Lopez v. United States,</w:t>
      </w:r>
      <w:r w:rsidRPr="000B4B6E">
        <w:rPr>
          <w:rFonts w:ascii="Arial" w:eastAsia="Times New Roman" w:hAnsi="Arial" w:cs="Arial"/>
          <w:color w:val="000000"/>
        </w:rPr>
        <w:t> 451 U.S. 182, 189–190, 101 S.Ct. 1629, 1634–1635, 68 L.Ed.2d 22 (1981) (plurality opinion of WHITE, J.). Cf. </w:t>
      </w:r>
      <w:r w:rsidRPr="000B4B6E">
        <w:rPr>
          <w:rFonts w:ascii="Arial" w:eastAsia="Times New Roman" w:hAnsi="Arial" w:cs="Arial"/>
          <w:i/>
          <w:iCs/>
          <w:color w:val="000000"/>
        </w:rPr>
        <w:t>Morgan v. Illinois,</w:t>
      </w:r>
      <w:r w:rsidRPr="000B4B6E">
        <w:rPr>
          <w:rFonts w:ascii="Arial" w:eastAsia="Times New Roman" w:hAnsi="Arial" w:cs="Arial"/>
          <w:color w:val="000000"/>
        </w:rPr>
        <w:t> 504 U.S. 719, 112 S.Ct. 2222, 119 L.Ed.2d 492 (1992) (exclusion of juror in capital trial is permissible upon showing that juror is incapable of considering sentences other than death).</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shd w:val="clear" w:color="auto" w:fill="FFFFFF"/>
        </w:rPr>
        <w:t>*59</w:t>
      </w:r>
      <w:r w:rsidRPr="000B4B6E">
        <w:rPr>
          <w:rFonts w:ascii="Arial" w:eastAsia="Times New Roman" w:hAnsi="Arial" w:cs="Arial"/>
          <w:color w:val="000000"/>
        </w:rPr>
        <w:t> 12 But there is a distinction between exercising a peremptory challenge to discriminate invidiously against jurors on account of race and exercising a peremptory challenge to remove an individual juror who harbors racial prejudice. This Court firmly has rejected the view that assumptions of partiality based on race provide a legitimate basis for disqualifying a person as an impartial juror. As this Court stated just last Term in </w:t>
      </w:r>
      <w:r w:rsidRPr="000B4B6E">
        <w:rPr>
          <w:rFonts w:ascii="Arial" w:eastAsia="Times New Roman" w:hAnsi="Arial" w:cs="Arial"/>
          <w:i/>
          <w:iCs/>
          <w:color w:val="000000"/>
        </w:rPr>
        <w:t>Powers,</w:t>
      </w:r>
      <w:r w:rsidRPr="000B4B6E">
        <w:rPr>
          <w:rFonts w:ascii="Arial" w:eastAsia="Times New Roman" w:hAnsi="Arial" w:cs="Arial"/>
          <w:color w:val="000000"/>
        </w:rPr>
        <w:t> “[w]e may not accept as a defense to racial discrimination the very stereotype the law condemns.” 499 U.S., at 410, 111 S.Ct., at 1370. “In our heterogeneous society policy as well as constitutional considerations militate against the divisive assumption—as a </w:t>
      </w:r>
      <w:r w:rsidRPr="000B4B6E">
        <w:rPr>
          <w:rFonts w:ascii="Arial" w:eastAsia="Times New Roman" w:hAnsi="Arial" w:cs="Arial"/>
          <w:i/>
          <w:iCs/>
          <w:color w:val="000000"/>
        </w:rPr>
        <w:t>per se</w:t>
      </w:r>
      <w:r w:rsidRPr="000B4B6E">
        <w:rPr>
          <w:rFonts w:ascii="Arial" w:eastAsia="Times New Roman" w:hAnsi="Arial" w:cs="Arial"/>
          <w:color w:val="000000"/>
        </w:rPr>
        <w:t> rule—that justice in a court of law may turn upon the pigmentation of skin, the accident of birth, or the choice of religion.” </w:t>
      </w:r>
      <w:r w:rsidRPr="000B4B6E">
        <w:rPr>
          <w:rFonts w:ascii="Arial" w:eastAsia="Times New Roman" w:hAnsi="Arial" w:cs="Arial"/>
          <w:i/>
          <w:iCs/>
          <w:color w:val="000000"/>
        </w:rPr>
        <w:t>Ristaino v. Ross,</w:t>
      </w:r>
      <w:r w:rsidRPr="000B4B6E">
        <w:rPr>
          <w:rFonts w:ascii="Arial" w:eastAsia="Times New Roman" w:hAnsi="Arial" w:cs="Arial"/>
          <w:color w:val="000000"/>
        </w:rPr>
        <w:t> 424 U.S. 589, 596, n. 8, 96 S.Ct. 1017, 1021, n. 8, 47 L.Ed.2d 258 (1976). We therefore reaffirm today that the exercise of a peremptory challenge must not be based on either the race of the juror or the racial stereotypes held by the party.</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IV</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13 We hold that the Constitution prohibits a criminal defendant from engaging in purposeful discrimination on the ground of race in the exercise of peremptory challenges. Accordingly, if the State demonstrates a prima facie case of racial discrimination by the defendants, the defendants must articulate a racially neutral explanation for peremptory challenges. The judgment of the Supreme Court of Georgia is reversed, and the case is remanded for further proceedings not inconsistent with this opinion.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i/>
          <w:iCs/>
          <w:color w:val="000000"/>
        </w:rPr>
        <w:t>It is so ordered.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Chief Justice REHNQUIST, concurring.</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 was in dissent in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 (1991), and continue to believe that case to have been wrongly decided. But so long as it remains the law, I believe that it controls the disposition of this case on the </w:t>
      </w:r>
      <w:r w:rsidRPr="000B4B6E">
        <w:rPr>
          <w:rFonts w:ascii="Arial" w:eastAsia="Times New Roman" w:hAnsi="Arial" w:cs="Arial"/>
          <w:color w:val="000000"/>
          <w:shd w:val="clear" w:color="auto" w:fill="FFFFFF"/>
        </w:rPr>
        <w:t>*60</w:t>
      </w:r>
      <w:r w:rsidRPr="000B4B6E">
        <w:rPr>
          <w:rFonts w:ascii="Arial" w:eastAsia="Times New Roman" w:hAnsi="Arial" w:cs="Arial"/>
          <w:color w:val="000000"/>
        </w:rPr>
        <w:t> issue of “state action” under the Fourteenth Amendment. I therefore join the opinion of the Court.</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Justice THOMAS, concurring in the judgment.</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As a matter of first impression, I think that I would have shared the view of the dissenting opinions: A criminal defendant's use of peremptory strikes cannot violate the Fourteenth Amendment because it does not involve state action. Yet, I agree with the Court and THE CHIEF JUSTICE that our decision last Term in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 (1991), governs this case and requires the opposite conclusion. Because the respondents do not question </w:t>
      </w:r>
      <w:r w:rsidRPr="000B4B6E">
        <w:rPr>
          <w:rFonts w:ascii="Arial" w:eastAsia="Times New Roman" w:hAnsi="Arial" w:cs="Arial"/>
          <w:i/>
          <w:iCs/>
          <w:color w:val="000000"/>
        </w:rPr>
        <w:t>Edmonson,</w:t>
      </w:r>
      <w:r w:rsidRPr="000B4B6E">
        <w:rPr>
          <w:rFonts w:ascii="Arial" w:eastAsia="Times New Roman" w:hAnsi="Arial" w:cs="Arial"/>
          <w:color w:val="000000"/>
        </w:rPr>
        <w:t> I believe that we must accept its consequences. I therefore concur in the judgment reversing the Georgia Supreme Court.</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 write separately to express my general dissatisfaction with our continuing attempts to use the Constitution to regulate peremptory challenges. See, </w:t>
      </w:r>
      <w:r w:rsidRPr="000B4B6E">
        <w:rPr>
          <w:rFonts w:ascii="Arial" w:eastAsia="Times New Roman" w:hAnsi="Arial" w:cs="Arial"/>
          <w:i/>
          <w:iCs/>
          <w:color w:val="000000"/>
        </w:rPr>
        <w:t>e.g., Batson v. Kentucky,</w:t>
      </w:r>
      <w:r w:rsidRPr="000B4B6E">
        <w:rPr>
          <w:rFonts w:ascii="Arial" w:eastAsia="Times New Roman" w:hAnsi="Arial" w:cs="Arial"/>
          <w:color w:val="000000"/>
        </w:rPr>
        <w:t> 476 U.S. 79, 106 S.Ct. 1712, 90 L.Ed.2d 69 (1986); </w:t>
      </w:r>
      <w:r w:rsidRPr="000B4B6E">
        <w:rPr>
          <w:rFonts w:ascii="Arial" w:eastAsia="Times New Roman" w:hAnsi="Arial" w:cs="Arial"/>
          <w:i/>
          <w:iCs/>
          <w:color w:val="000000"/>
        </w:rPr>
        <w:t>Powers v. Ohio,</w:t>
      </w:r>
      <w:r w:rsidRPr="000B4B6E">
        <w:rPr>
          <w:rFonts w:ascii="Arial" w:eastAsia="Times New Roman" w:hAnsi="Arial" w:cs="Arial"/>
          <w:color w:val="000000"/>
        </w:rPr>
        <w:t> 499 U.S. 400, 111 S.Ct. 1364, 113 L.Ed.2d 411 (1991); </w:t>
      </w:r>
      <w:r w:rsidRPr="000B4B6E">
        <w:rPr>
          <w:rFonts w:ascii="Arial" w:eastAsia="Times New Roman" w:hAnsi="Arial" w:cs="Arial"/>
          <w:i/>
          <w:iCs/>
          <w:color w:val="000000"/>
        </w:rPr>
        <w:t>Edmonson, supra.</w:t>
      </w:r>
      <w:r w:rsidRPr="000B4B6E">
        <w:rPr>
          <w:rFonts w:ascii="Arial" w:eastAsia="Times New Roman" w:hAnsi="Arial" w:cs="Arial"/>
          <w:color w:val="000000"/>
        </w:rPr>
        <w:t> In my view, by restricting a criminal defendant's use of such challenges, this case takes us further from the reasoning and the result of </w:t>
      </w:r>
      <w:r w:rsidRPr="000B4B6E">
        <w:rPr>
          <w:rFonts w:ascii="Arial" w:eastAsia="Times New Roman" w:hAnsi="Arial" w:cs="Arial"/>
          <w:i/>
          <w:iCs/>
          <w:color w:val="000000"/>
        </w:rPr>
        <w:t>Strauder v. West Virginia,</w:t>
      </w:r>
      <w:r w:rsidRPr="000B4B6E">
        <w:rPr>
          <w:rFonts w:ascii="Arial" w:eastAsia="Times New Roman" w:hAnsi="Arial" w:cs="Arial"/>
          <w:color w:val="000000"/>
        </w:rPr>
        <w:t> 100 U.S. 303, 25 L.Ed. 664 (1880). I doubt that this departure will produce favorable consequences. On the contrary, I am certain </w:t>
      </w:r>
      <w:r w:rsidRPr="000B4B6E">
        <w:rPr>
          <w:rFonts w:ascii="Arial" w:eastAsia="Times New Roman" w:hAnsi="Arial" w:cs="Arial"/>
          <w:color w:val="000000"/>
          <w:shd w:val="clear" w:color="auto" w:fill="FFFFFF"/>
        </w:rPr>
        <w:t>**2360</w:t>
      </w:r>
      <w:r w:rsidRPr="000B4B6E">
        <w:rPr>
          <w:rFonts w:ascii="Arial" w:eastAsia="Times New Roman" w:hAnsi="Arial" w:cs="Arial"/>
          <w:color w:val="000000"/>
        </w:rPr>
        <w:t> that black criminal defendants will rue the day that this Court ventured down this road that inexorably will lead to the elimination of peremptory strikes.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w:t>
      </w:r>
      <w:r w:rsidRPr="000B4B6E">
        <w:rPr>
          <w:rFonts w:ascii="Arial" w:eastAsia="Times New Roman" w:hAnsi="Arial" w:cs="Arial"/>
          <w:i/>
          <w:iCs/>
          <w:color w:val="000000"/>
        </w:rPr>
        <w:t>Strauder,</w:t>
      </w:r>
      <w:r w:rsidRPr="000B4B6E">
        <w:rPr>
          <w:rFonts w:ascii="Arial" w:eastAsia="Times New Roman" w:hAnsi="Arial" w:cs="Arial"/>
          <w:color w:val="000000"/>
        </w:rPr>
        <w:t> as the Court notes, we invalidated a state law that prohibited blacks from serving on juries. In the course of the decision, we observed that the racial composition of a jury may affect the outcome of a criminal case. We explained: “It is well known that prejudices often exist against particular classes in the community, which sway the judgment of jurors, and which, therefore, operate in some cases to deny to persons of those classes the full enjoyment of that protection which others enjoy.” </w:t>
      </w:r>
      <w:r w:rsidRPr="000B4B6E">
        <w:rPr>
          <w:rFonts w:ascii="Arial" w:eastAsia="Times New Roman" w:hAnsi="Arial" w:cs="Arial"/>
          <w:i/>
          <w:iCs/>
          <w:color w:val="000000"/>
        </w:rPr>
        <w:t>Id.,</w:t>
      </w:r>
      <w:r w:rsidRPr="000B4B6E">
        <w:rPr>
          <w:rFonts w:ascii="Arial" w:eastAsia="Times New Roman" w:hAnsi="Arial" w:cs="Arial"/>
          <w:color w:val="000000"/>
        </w:rPr>
        <w:t> 100 U.S., at 309. We thus recognized, </w:t>
      </w:r>
      <w:r w:rsidRPr="000B4B6E">
        <w:rPr>
          <w:rFonts w:ascii="Arial" w:eastAsia="Times New Roman" w:hAnsi="Arial" w:cs="Arial"/>
          <w:color w:val="000000"/>
          <w:shd w:val="clear" w:color="auto" w:fill="FFFFFF"/>
        </w:rPr>
        <w:t>*61</w:t>
      </w:r>
      <w:r w:rsidRPr="000B4B6E">
        <w:rPr>
          <w:rFonts w:ascii="Arial" w:eastAsia="Times New Roman" w:hAnsi="Arial" w:cs="Arial"/>
          <w:color w:val="000000"/>
        </w:rPr>
        <w:t> over a century ago, the precise point that Justice O'CONNOR makes today. Simply stated, securing representation of the defendant's race on the jury may help to overcome racial bias and provide the defendant with a better chance of having a fair trial. </w:t>
      </w:r>
      <w:r w:rsidRPr="000B4B6E">
        <w:rPr>
          <w:rFonts w:ascii="Arial" w:eastAsia="Times New Roman" w:hAnsi="Arial" w:cs="Arial"/>
          <w:i/>
          <w:iCs/>
          <w:color w:val="000000"/>
        </w:rPr>
        <w:t>Post,</w:t>
      </w:r>
      <w:r w:rsidRPr="000B4B6E">
        <w:rPr>
          <w:rFonts w:ascii="Arial" w:eastAsia="Times New Roman" w:hAnsi="Arial" w:cs="Arial"/>
          <w:color w:val="000000"/>
        </w:rPr>
        <w:t> at 2364.</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 do not think that this basic premise of </w:t>
      </w:r>
      <w:r w:rsidRPr="000B4B6E">
        <w:rPr>
          <w:rFonts w:ascii="Arial" w:eastAsia="Times New Roman" w:hAnsi="Arial" w:cs="Arial"/>
          <w:i/>
          <w:iCs/>
          <w:color w:val="000000"/>
        </w:rPr>
        <w:t>Strauder</w:t>
      </w:r>
      <w:r w:rsidRPr="000B4B6E">
        <w:rPr>
          <w:rFonts w:ascii="Arial" w:eastAsia="Times New Roman" w:hAnsi="Arial" w:cs="Arial"/>
          <w:color w:val="000000"/>
        </w:rPr>
        <w:t> has become obsolete. The public, in general, continues to believe that the makeup of juries can matter in certain instances. Consider, for example, how the press reports criminal trials. Major newspapers regularly note the number of whites and blacks that sit on juries in important cases.</w:t>
      </w:r>
      <w:r w:rsidRPr="000B4B6E">
        <w:rPr>
          <w:rFonts w:ascii="Arial" w:eastAsia="Times New Roman" w:hAnsi="Arial" w:cs="Arial"/>
          <w:color w:val="000000"/>
          <w:vertAlign w:val="superscript"/>
        </w:rPr>
        <w:t>1</w:t>
      </w:r>
      <w:r w:rsidRPr="000B4B6E">
        <w:rPr>
          <w:rFonts w:ascii="Arial" w:eastAsia="Times New Roman" w:hAnsi="Arial" w:cs="Arial"/>
          <w:color w:val="000000"/>
        </w:rPr>
        <w:t> Their editors and readers apparently recognize that conscious and unconscious prejudice persists in our society and that it may influence some juries. Common experience and common sense confirm this understanding.</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w:t>
      </w:r>
      <w:r w:rsidRPr="000B4B6E">
        <w:rPr>
          <w:rFonts w:ascii="Arial" w:eastAsia="Times New Roman" w:hAnsi="Arial" w:cs="Arial"/>
          <w:i/>
          <w:iCs/>
          <w:color w:val="000000"/>
        </w:rPr>
        <w:t>Batson,</w:t>
      </w:r>
      <w:r w:rsidRPr="000B4B6E">
        <w:rPr>
          <w:rFonts w:ascii="Arial" w:eastAsia="Times New Roman" w:hAnsi="Arial" w:cs="Arial"/>
          <w:color w:val="000000"/>
        </w:rPr>
        <w:t> however, this Court began to depart from </w:t>
      </w:r>
      <w:r w:rsidRPr="000B4B6E">
        <w:rPr>
          <w:rFonts w:ascii="Arial" w:eastAsia="Times New Roman" w:hAnsi="Arial" w:cs="Arial"/>
          <w:i/>
          <w:iCs/>
          <w:color w:val="000000"/>
        </w:rPr>
        <w:t>Strauder</w:t>
      </w:r>
      <w:r w:rsidRPr="000B4B6E">
        <w:rPr>
          <w:rFonts w:ascii="Arial" w:eastAsia="Times New Roman" w:hAnsi="Arial" w:cs="Arial"/>
          <w:color w:val="000000"/>
        </w:rPr>
        <w:t> by holding that, without some actual showing, suppositions about the possibility that jurors may harbor prejudice have no legitimacy. We said, in particular, that a prosecutor could not justify peremptory strikes “by stating merely that he challenged jurors of the defendant's race on the assumption—or his intuitive judgment—that they would be partial to the defendant because of their shared race.” 476 U.S., at 97, 106 S.Ct., at 1723. As noted, however, our decision in </w:t>
      </w:r>
      <w:r w:rsidRPr="000B4B6E">
        <w:rPr>
          <w:rFonts w:ascii="Arial" w:eastAsia="Times New Roman" w:hAnsi="Arial" w:cs="Arial"/>
          <w:i/>
          <w:iCs/>
          <w:color w:val="000000"/>
        </w:rPr>
        <w:t>Strauder</w:t>
      </w:r>
      <w:r w:rsidRPr="000B4B6E">
        <w:rPr>
          <w:rFonts w:ascii="Arial" w:eastAsia="Times New Roman" w:hAnsi="Arial" w:cs="Arial"/>
          <w:color w:val="000000"/>
        </w:rPr>
        <w:t> rested on precisely such an “assumption” or “intuition.” We reasonably surmised, without direct evidence in any particular case, that all-white juries might judge black defendants unfairly.</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Our departure from </w:t>
      </w:r>
      <w:r w:rsidRPr="000B4B6E">
        <w:rPr>
          <w:rFonts w:ascii="Arial" w:eastAsia="Times New Roman" w:hAnsi="Arial" w:cs="Arial"/>
          <w:i/>
          <w:iCs/>
          <w:color w:val="000000"/>
        </w:rPr>
        <w:t>Strauder</w:t>
      </w:r>
      <w:r w:rsidRPr="000B4B6E">
        <w:rPr>
          <w:rFonts w:ascii="Arial" w:eastAsia="Times New Roman" w:hAnsi="Arial" w:cs="Arial"/>
          <w:color w:val="000000"/>
        </w:rPr>
        <w:t> has two negative consequences. First, it produces a serious misordering of our priorities. In </w:t>
      </w:r>
      <w:r w:rsidRPr="000B4B6E">
        <w:rPr>
          <w:rFonts w:ascii="Arial" w:eastAsia="Times New Roman" w:hAnsi="Arial" w:cs="Arial"/>
          <w:i/>
          <w:iCs/>
          <w:color w:val="000000"/>
        </w:rPr>
        <w:t>Strauder,</w:t>
      </w:r>
      <w:r w:rsidRPr="000B4B6E">
        <w:rPr>
          <w:rFonts w:ascii="Arial" w:eastAsia="Times New Roman" w:hAnsi="Arial" w:cs="Arial"/>
          <w:color w:val="000000"/>
        </w:rPr>
        <w:t> we put the rights of defendants foremost. Today's decision, while protecting jurors, leaves defendants with less means of protecting themselves. Unlessjurors </w:t>
      </w:r>
      <w:r w:rsidRPr="000B4B6E">
        <w:rPr>
          <w:rFonts w:ascii="Arial" w:eastAsia="Times New Roman" w:hAnsi="Arial" w:cs="Arial"/>
          <w:color w:val="000000"/>
          <w:shd w:val="clear" w:color="auto" w:fill="FFFFFF"/>
        </w:rPr>
        <w:t>*62</w:t>
      </w:r>
      <w:r w:rsidRPr="000B4B6E">
        <w:rPr>
          <w:rFonts w:ascii="Arial" w:eastAsia="Times New Roman" w:hAnsi="Arial" w:cs="Arial"/>
          <w:color w:val="000000"/>
        </w:rPr>
        <w:t> actually admit prejudice during </w:t>
      </w:r>
      <w:r w:rsidRPr="000B4B6E">
        <w:rPr>
          <w:rFonts w:ascii="Arial" w:eastAsia="Times New Roman" w:hAnsi="Arial" w:cs="Arial"/>
          <w:i/>
          <w:iCs/>
          <w:color w:val="000000"/>
        </w:rPr>
        <w:t>voir dire,</w:t>
      </w:r>
      <w:r w:rsidRPr="000B4B6E">
        <w:rPr>
          <w:rFonts w:ascii="Arial" w:eastAsia="Times New Roman" w:hAnsi="Arial" w:cs="Arial"/>
          <w:color w:val="000000"/>
        </w:rPr>
        <w:t> defendants generally must allow them to sit and run the risk that racial animus will affect the verdict. Cf. Fed.Rule Evid. 606(b) (generally excluding juror testimony after trial to impeach the verdict). In effect, we have exalted the right of citizens to sit on juries over the rights of the criminal defendant, even though it is the defendant, not the jurors, who faces imprisonment or even death. At a minimum, I think that this inversion of priorities should give us pause.</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Second, our departure from </w:t>
      </w:r>
      <w:r w:rsidRPr="000B4B6E">
        <w:rPr>
          <w:rFonts w:ascii="Arial" w:eastAsia="Times New Roman" w:hAnsi="Arial" w:cs="Arial"/>
          <w:i/>
          <w:iCs/>
          <w:color w:val="000000"/>
        </w:rPr>
        <w:t>Strauder</w:t>
      </w:r>
      <w:r w:rsidRPr="000B4B6E">
        <w:rPr>
          <w:rFonts w:ascii="Arial" w:eastAsia="Times New Roman" w:hAnsi="Arial" w:cs="Arial"/>
          <w:color w:val="000000"/>
        </w:rPr>
        <w:t> has taken us down a slope of inquiry that had no clear stopping point. Today, we decide only that white defendants may not strike black veniremen on the basis of race. Eventually, we will have to decide whether black defendants may strike white veniremen.</w:t>
      </w:r>
      <w:r w:rsidRPr="000B4B6E">
        <w:rPr>
          <w:rFonts w:ascii="Arial" w:eastAsia="Times New Roman" w:hAnsi="Arial" w:cs="Arial"/>
          <w:color w:val="000000"/>
          <w:vertAlign w:val="superscript"/>
        </w:rPr>
        <w:t>2</w:t>
      </w:r>
      <w:r w:rsidRPr="000B4B6E">
        <w:rPr>
          <w:rFonts w:ascii="Arial" w:eastAsia="Times New Roman" w:hAnsi="Arial" w:cs="Arial"/>
          <w:color w:val="000000"/>
        </w:rPr>
        <w:t> See, </w:t>
      </w:r>
      <w:r w:rsidRPr="000B4B6E">
        <w:rPr>
          <w:rFonts w:ascii="Arial" w:eastAsia="Times New Roman" w:hAnsi="Arial" w:cs="Arial"/>
          <w:i/>
          <w:iCs/>
          <w:color w:val="000000"/>
        </w:rPr>
        <w:t>e.g., </w:t>
      </w:r>
      <w:r w:rsidRPr="000B4B6E">
        <w:rPr>
          <w:rFonts w:ascii="Arial" w:eastAsia="Times New Roman" w:hAnsi="Arial" w:cs="Arial"/>
          <w:color w:val="000000"/>
          <w:shd w:val="clear" w:color="auto" w:fill="FFFFFF"/>
        </w:rPr>
        <w:t>**2361</w:t>
      </w:r>
      <w:r w:rsidRPr="000B4B6E">
        <w:rPr>
          <w:rFonts w:ascii="Arial" w:eastAsia="Times New Roman" w:hAnsi="Arial" w:cs="Arial"/>
          <w:color w:val="000000"/>
        </w:rPr>
        <w:t> </w:t>
      </w:r>
      <w:r w:rsidRPr="000B4B6E">
        <w:rPr>
          <w:rFonts w:ascii="Arial" w:eastAsia="Times New Roman" w:hAnsi="Arial" w:cs="Arial"/>
          <w:i/>
          <w:iCs/>
          <w:color w:val="000000"/>
        </w:rPr>
        <w:t>State v. Carr,</w:t>
      </w:r>
      <w:r w:rsidRPr="000B4B6E">
        <w:rPr>
          <w:rFonts w:ascii="Arial" w:eastAsia="Times New Roman" w:hAnsi="Arial" w:cs="Arial"/>
          <w:color w:val="000000"/>
        </w:rPr>
        <w:t> 261 Ga. 845, 413 S.E.2d 192 (1992). Next will come the question whether defendants may exercise peremptories on the basis of sex. See, </w:t>
      </w:r>
      <w:r w:rsidRPr="000B4B6E">
        <w:rPr>
          <w:rFonts w:ascii="Arial" w:eastAsia="Times New Roman" w:hAnsi="Arial" w:cs="Arial"/>
          <w:i/>
          <w:iCs/>
          <w:color w:val="000000"/>
        </w:rPr>
        <w:t>e.g., United States v. De Gross,</w:t>
      </w:r>
      <w:r w:rsidRPr="000B4B6E">
        <w:rPr>
          <w:rFonts w:ascii="Arial" w:eastAsia="Times New Roman" w:hAnsi="Arial" w:cs="Arial"/>
          <w:color w:val="000000"/>
        </w:rPr>
        <w:t> 960 F.2d 1433 (CA9 1992). The consequences for defendants of our decision and of these future cases remain to be seen. But whatever the benefits were that this Court perceived in a criminal defendant's having members of his class on the jury, see </w:t>
      </w:r>
      <w:r w:rsidRPr="000B4B6E">
        <w:rPr>
          <w:rFonts w:ascii="Arial" w:eastAsia="Times New Roman" w:hAnsi="Arial" w:cs="Arial"/>
          <w:i/>
          <w:iCs/>
          <w:color w:val="000000"/>
        </w:rPr>
        <w:t>Strauder,</w:t>
      </w:r>
      <w:r w:rsidRPr="000B4B6E">
        <w:rPr>
          <w:rFonts w:ascii="Arial" w:eastAsia="Times New Roman" w:hAnsi="Arial" w:cs="Arial"/>
          <w:color w:val="000000"/>
        </w:rPr>
        <w:t> 100 U.S., at 309–310, they have evaporated.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Justice O'CONNOR, dissenting.</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Court reaches the remarkable conclusion that criminal defendants being prosecuted by the State act on behalf of their adversary when they exercise peremptory challenges during jury selection. The Court purports merely to follow </w:t>
      </w:r>
      <w:r w:rsidRPr="000B4B6E">
        <w:rPr>
          <w:rFonts w:ascii="Arial" w:eastAsia="Times New Roman" w:hAnsi="Arial" w:cs="Arial"/>
          <w:color w:val="000000"/>
          <w:shd w:val="clear" w:color="auto" w:fill="FFFFFF"/>
        </w:rPr>
        <w:t>*63</w:t>
      </w:r>
      <w:r w:rsidRPr="000B4B6E">
        <w:rPr>
          <w:rFonts w:ascii="Arial" w:eastAsia="Times New Roman" w:hAnsi="Arial" w:cs="Arial"/>
          <w:color w:val="000000"/>
        </w:rPr>
        <w:t> precedents, but our cases do not compel this perverse result. To the contrary, our decisions specifically establish that criminal defendants and their lawyers are not government actors when they perform traditional trial functions.</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I</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It is well and properly settled that the Constitution's equal protection guarantee forbids prosecutors to exercise peremptory challenges in a racially discriminatory fashion. See </w:t>
      </w:r>
      <w:r w:rsidRPr="000B4B6E">
        <w:rPr>
          <w:rFonts w:ascii="Arial" w:eastAsia="Times New Roman" w:hAnsi="Arial" w:cs="Arial"/>
          <w:i/>
          <w:iCs/>
          <w:color w:val="000000"/>
        </w:rPr>
        <w:t>Batson v. Kentucky,</w:t>
      </w:r>
      <w:r w:rsidRPr="000B4B6E">
        <w:rPr>
          <w:rFonts w:ascii="Arial" w:eastAsia="Times New Roman" w:hAnsi="Arial" w:cs="Arial"/>
          <w:color w:val="000000"/>
        </w:rPr>
        <w:t> 476 U.S. 79, 106 S.Ct. 1712, 90 L.Ed.2d 69 (1986); </w:t>
      </w:r>
      <w:r w:rsidRPr="000B4B6E">
        <w:rPr>
          <w:rFonts w:ascii="Arial" w:eastAsia="Times New Roman" w:hAnsi="Arial" w:cs="Arial"/>
          <w:i/>
          <w:iCs/>
          <w:color w:val="000000"/>
        </w:rPr>
        <w:t>Powers v. Ohio,</w:t>
      </w:r>
      <w:r w:rsidRPr="000B4B6E">
        <w:rPr>
          <w:rFonts w:ascii="Arial" w:eastAsia="Times New Roman" w:hAnsi="Arial" w:cs="Arial"/>
          <w:color w:val="000000"/>
        </w:rPr>
        <w:t> 499 U.S. 400, 409, 111 S.Ct. 1364, 1370, 113 L.Ed.2d 411 (1991). The Constitution, however, affords no similar protection against private action. “Embedded in our Fourteenth Amendment jurisprudence is a dichotomy between state action, which is subject to scrutiny under the Amendmen[t] ..., and private conduct, against which the Amendment affords no shield, no matter how unfair that conduct may be.” </w:t>
      </w:r>
      <w:r w:rsidRPr="000B4B6E">
        <w:rPr>
          <w:rFonts w:ascii="Arial" w:eastAsia="Times New Roman" w:hAnsi="Arial" w:cs="Arial"/>
          <w:i/>
          <w:iCs/>
          <w:color w:val="000000"/>
        </w:rPr>
        <w:t>National Collegiate Athletic Assn. v. Tarkanian,</w:t>
      </w:r>
      <w:r w:rsidRPr="000B4B6E">
        <w:rPr>
          <w:rFonts w:ascii="Arial" w:eastAsia="Times New Roman" w:hAnsi="Arial" w:cs="Arial"/>
          <w:color w:val="000000"/>
        </w:rPr>
        <w:t> 488 U.S. 179, 191, 109 S.Ct. 454, 461, 102 L.Ed.2d 469 (1988) (footnote omitted). This distinction appears on the face of the Fourteenth Amendment, which provides that “</w:t>
      </w:r>
      <w:r w:rsidRPr="000B4B6E">
        <w:rPr>
          <w:rFonts w:ascii="Arial" w:eastAsia="Times New Roman" w:hAnsi="Arial" w:cs="Arial"/>
          <w:i/>
          <w:iCs/>
          <w:color w:val="000000"/>
        </w:rPr>
        <w:t>No State</w:t>
      </w:r>
      <w:r w:rsidRPr="000B4B6E">
        <w:rPr>
          <w:rFonts w:ascii="Arial" w:eastAsia="Times New Roman" w:hAnsi="Arial" w:cs="Arial"/>
          <w:color w:val="000000"/>
        </w:rPr>
        <w:t> shall ... deny to any person within its jurisdiction the equal protection of the laws.” U.S. Const., Amdt. 14, § 1 (emphasis added). The critical but straightforward question this case presents is whether criminal defendants and their lawyers, when exercising peremptory challenges as part of a defense, are state actors.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In </w:t>
      </w:r>
      <w:r w:rsidRPr="000B4B6E">
        <w:rPr>
          <w:rFonts w:ascii="Arial" w:eastAsia="Times New Roman" w:hAnsi="Arial" w:cs="Arial"/>
          <w:i/>
          <w:iCs/>
          <w:color w:val="000000"/>
        </w:rPr>
        <w:t>Lugar v. Edmondson Oil Co.,</w:t>
      </w:r>
      <w:r w:rsidRPr="000B4B6E">
        <w:rPr>
          <w:rFonts w:ascii="Arial" w:eastAsia="Times New Roman" w:hAnsi="Arial" w:cs="Arial"/>
          <w:color w:val="000000"/>
        </w:rPr>
        <w:t> 457 U.S. 922, 102 S.Ct. 2744, 73 L.Ed.2d 482 (1982), the Court developed a two-step approach to identifying state action in cases such as this. First, the Court will ask “whether the claimed deprivation has resulted from the exercise of a right or privilege having its source in state authority.” </w:t>
      </w:r>
      <w:r w:rsidRPr="000B4B6E">
        <w:rPr>
          <w:rFonts w:ascii="Arial" w:eastAsia="Times New Roman" w:hAnsi="Arial" w:cs="Arial"/>
          <w:i/>
          <w:iCs/>
          <w:color w:val="000000"/>
        </w:rPr>
        <w:t>Id.,</w:t>
      </w:r>
      <w:r w:rsidRPr="000B4B6E">
        <w:rPr>
          <w:rFonts w:ascii="Arial" w:eastAsia="Times New Roman" w:hAnsi="Arial" w:cs="Arial"/>
          <w:color w:val="000000"/>
        </w:rPr>
        <w:t> at 939, 102 S.Ct., at 2755. Next, it will decide whether, on the particular facts at issue, the parties who allegedly caused the deprivation of a federal right can “appropriately” and “in all fairness” be characterized as state actors. </w:t>
      </w:r>
      <w:r w:rsidRPr="000B4B6E">
        <w:rPr>
          <w:rFonts w:ascii="Arial" w:eastAsia="Times New Roman" w:hAnsi="Arial" w:cs="Arial"/>
          <w:i/>
          <w:iCs/>
          <w:color w:val="000000"/>
        </w:rPr>
        <w:t>Ibid.; Edmonson v. Leesville Concrete Co.,</w:t>
      </w:r>
      <w:r w:rsidRPr="000B4B6E">
        <w:rPr>
          <w:rFonts w:ascii="Arial" w:eastAsia="Times New Roman" w:hAnsi="Arial" w:cs="Arial"/>
          <w:color w:val="000000"/>
        </w:rPr>
        <w:t> 500 U.S. 614, 620, 111 S.Ct. 2077, 2083, 114 L.Ed.2d 660 (1991). The </w:t>
      </w:r>
      <w:r w:rsidRPr="000B4B6E">
        <w:rPr>
          <w:rFonts w:ascii="Arial" w:eastAsia="Times New Roman" w:hAnsi="Arial" w:cs="Arial"/>
          <w:color w:val="000000"/>
          <w:shd w:val="clear" w:color="auto" w:fill="FFFFFF"/>
        </w:rPr>
        <w:t>*64</w:t>
      </w:r>
      <w:r w:rsidRPr="000B4B6E">
        <w:rPr>
          <w:rFonts w:ascii="Arial" w:eastAsia="Times New Roman" w:hAnsi="Arial" w:cs="Arial"/>
          <w:color w:val="000000"/>
        </w:rPr>
        <w:t> Court's determination in this case that the peremptory challenge is a creation of state authority, </w:t>
      </w:r>
      <w:r w:rsidRPr="000B4B6E">
        <w:rPr>
          <w:rFonts w:ascii="Arial" w:eastAsia="Times New Roman" w:hAnsi="Arial" w:cs="Arial"/>
          <w:i/>
          <w:iCs/>
          <w:color w:val="000000"/>
        </w:rPr>
        <w:t>ante,</w:t>
      </w:r>
      <w:r w:rsidRPr="000B4B6E">
        <w:rPr>
          <w:rFonts w:ascii="Arial" w:eastAsia="Times New Roman" w:hAnsi="Arial" w:cs="Arial"/>
          <w:color w:val="000000"/>
        </w:rPr>
        <w:t> at 2355, breaks no new ground. See </w:t>
      </w:r>
      <w:r w:rsidRPr="000B4B6E">
        <w:rPr>
          <w:rFonts w:ascii="Arial" w:eastAsia="Times New Roman" w:hAnsi="Arial" w:cs="Arial"/>
          <w:i/>
          <w:iCs/>
          <w:color w:val="000000"/>
        </w:rPr>
        <w:t>Edmonson, supra,</w:t>
      </w:r>
      <w:r w:rsidRPr="000B4B6E">
        <w:rPr>
          <w:rFonts w:ascii="Arial" w:eastAsia="Times New Roman" w:hAnsi="Arial" w:cs="Arial"/>
          <w:color w:val="000000"/>
        </w:rPr>
        <w:t> at 620–621, 111 S.Ct., at 2083. But disposing of this threshold matter leaves the Court with the task of showing that criminal defendants who exercise peremptories should be deemed governmental actors. What our cases require, and what the Court neglects, is a realistic appraisal of the relationship between defendants and the government that has brought them to trial.</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We discussed that relationship in </w:t>
      </w:r>
      <w:r w:rsidRPr="000B4B6E">
        <w:rPr>
          <w:rFonts w:ascii="Arial" w:eastAsia="Times New Roman" w:hAnsi="Arial" w:cs="Arial"/>
          <w:i/>
          <w:iCs/>
          <w:color w:val="000000"/>
        </w:rPr>
        <w:t>Polk County v. Dodson,</w:t>
      </w:r>
      <w:r w:rsidRPr="000B4B6E">
        <w:rPr>
          <w:rFonts w:ascii="Arial" w:eastAsia="Times New Roman" w:hAnsi="Arial" w:cs="Arial"/>
          <w:color w:val="000000"/>
        </w:rPr>
        <w:t> 454 U.S. 312, 102 S.Ct. 445, 70 L.Ed.2d 509 (1981), which held that a public defender does not act “under color of state law” for purposes of 42 U.S.C. § 1983 “when performing a lawyer's traditional functions as counsel to a defendant in a criminal proceeding.” 454 U.S., at 325, 102 S.Ct., at 453. We began our analysis by explaining that a public defender's obligations toward her client are no different than the obligations of any other defense attorney. </w:t>
      </w:r>
      <w:r w:rsidRPr="000B4B6E">
        <w:rPr>
          <w:rFonts w:ascii="Arial" w:eastAsia="Times New Roman" w:hAnsi="Arial" w:cs="Arial"/>
          <w:i/>
          <w:iCs/>
          <w:color w:val="000000"/>
        </w:rPr>
        <w:t>Id.,</w:t>
      </w:r>
      <w:r w:rsidRPr="000B4B6E">
        <w:rPr>
          <w:rFonts w:ascii="Arial" w:eastAsia="Times New Roman" w:hAnsi="Arial" w:cs="Arial"/>
          <w:color w:val="000000"/>
        </w:rPr>
        <w:t> at 318, 102 S.Ct., at 449–450. These obligations </w:t>
      </w:r>
      <w:r w:rsidRPr="000B4B6E">
        <w:rPr>
          <w:rFonts w:ascii="Arial" w:eastAsia="Times New Roman" w:hAnsi="Arial" w:cs="Arial"/>
          <w:color w:val="000000"/>
          <w:shd w:val="clear" w:color="auto" w:fill="FFFFFF"/>
        </w:rPr>
        <w:t>**2362</w:t>
      </w:r>
      <w:r w:rsidRPr="000B4B6E">
        <w:rPr>
          <w:rFonts w:ascii="Arial" w:eastAsia="Times New Roman" w:hAnsi="Arial" w:cs="Arial"/>
          <w:color w:val="000000"/>
        </w:rPr>
        <w:t> preclude attributing the acts of defense lawyers to the State: “[T]he duties of a defense lawyer are those of a personal counselor and advocate. It is often said that lawyers are ‘officers of the court.’ But the Courts of Appeals are agreed that a lawyer representing a client is not, by virtue of being an officer of the court, a state actor....” </w:t>
      </w:r>
      <w:r w:rsidRPr="000B4B6E">
        <w:rPr>
          <w:rFonts w:ascii="Arial" w:eastAsia="Times New Roman" w:hAnsi="Arial" w:cs="Arial"/>
          <w:i/>
          <w:iCs/>
          <w:color w:val="000000"/>
        </w:rPr>
        <w:t>Ibid.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We went on to stress the inconsistency between our adversarial system of justice and theories that would make defense lawyers state actors. “In our system,” we said, “a defense lawyer characteristically opposes the designated representatives of the State.” </w:t>
      </w:r>
      <w:r w:rsidRPr="000B4B6E">
        <w:rPr>
          <w:rFonts w:ascii="Arial" w:eastAsia="Times New Roman" w:hAnsi="Arial" w:cs="Arial"/>
          <w:i/>
          <w:iCs/>
          <w:color w:val="000000"/>
        </w:rPr>
        <w:t>Ibid.</w:t>
      </w:r>
      <w:r w:rsidRPr="000B4B6E">
        <w:rPr>
          <w:rFonts w:ascii="Arial" w:eastAsia="Times New Roman" w:hAnsi="Arial" w:cs="Arial"/>
          <w:color w:val="000000"/>
        </w:rPr>
        <w:t> This adversarial posture rests on the assumption that a defense lawyer best serves the public “not by acting on behalf of the State or in concert with it, but rather by advancing ‘the undivided interests of his client.’ ” </w:t>
      </w:r>
      <w:r w:rsidRPr="000B4B6E">
        <w:rPr>
          <w:rFonts w:ascii="Arial" w:eastAsia="Times New Roman" w:hAnsi="Arial" w:cs="Arial"/>
          <w:i/>
          <w:iCs/>
          <w:color w:val="000000"/>
        </w:rPr>
        <w:t>Id.,</w:t>
      </w:r>
      <w:r w:rsidRPr="000B4B6E">
        <w:rPr>
          <w:rFonts w:ascii="Arial" w:eastAsia="Times New Roman" w:hAnsi="Arial" w:cs="Arial"/>
          <w:color w:val="000000"/>
        </w:rPr>
        <w:t> at 318–319, 102 S.Ct., at 449–450 (quoting </w:t>
      </w:r>
      <w:r w:rsidRPr="000B4B6E">
        <w:rPr>
          <w:rFonts w:ascii="Arial" w:eastAsia="Times New Roman" w:hAnsi="Arial" w:cs="Arial"/>
          <w:i/>
          <w:iCs/>
          <w:color w:val="000000"/>
        </w:rPr>
        <w:t>Ferri v. Ackerman,</w:t>
      </w:r>
      <w:r w:rsidRPr="000B4B6E">
        <w:rPr>
          <w:rFonts w:ascii="Arial" w:eastAsia="Times New Roman" w:hAnsi="Arial" w:cs="Arial"/>
          <w:color w:val="000000"/>
        </w:rPr>
        <w:t> 444 U.S. 193, 204, 100 S.Ct. 402, 409, 62 L.Ed.2d 355 (1979)). Moreover, we pointed out that the independence of defense attorneys from state control has a constitutional dimension. </w:t>
      </w:r>
      <w:r w:rsidRPr="000B4B6E">
        <w:rPr>
          <w:rFonts w:ascii="Arial" w:eastAsia="Times New Roman" w:hAnsi="Arial" w:cs="Arial"/>
          <w:color w:val="000000"/>
          <w:shd w:val="clear" w:color="auto" w:fill="FFFFFF"/>
        </w:rPr>
        <w:t>*65</w:t>
      </w:r>
      <w:r w:rsidRPr="000B4B6E">
        <w:rPr>
          <w:rFonts w:ascii="Arial" w:eastAsia="Times New Roman" w:hAnsi="Arial" w:cs="Arial"/>
          <w:color w:val="000000"/>
        </w:rPr>
        <w:t> </w:t>
      </w:r>
      <w:r w:rsidRPr="000B4B6E">
        <w:rPr>
          <w:rFonts w:ascii="Arial" w:eastAsia="Times New Roman" w:hAnsi="Arial" w:cs="Arial"/>
          <w:i/>
          <w:iCs/>
          <w:color w:val="000000"/>
        </w:rPr>
        <w:t>Gideon v. Wainwright,</w:t>
      </w:r>
      <w:r w:rsidRPr="000B4B6E">
        <w:rPr>
          <w:rFonts w:ascii="Arial" w:eastAsia="Times New Roman" w:hAnsi="Arial" w:cs="Arial"/>
          <w:color w:val="000000"/>
        </w:rPr>
        <w:t> 372 U.S. 335, 83 S.Ct. 792, 9 L.Ed.2d 799 (1963), “established the right of state criminal defendants to the guiding hand of counsel at every step in the proceedings against [them].” 454 U.S., at 322, 102 S.Ct., at 452 (internal quotation marks omitted). Implicit in this right “is the assumption that counsel will be free of state control. There can be no fair trial unless the accused receives the services of an effective and independent advocate.” </w:t>
      </w:r>
      <w:r w:rsidRPr="000B4B6E">
        <w:rPr>
          <w:rFonts w:ascii="Arial" w:eastAsia="Times New Roman" w:hAnsi="Arial" w:cs="Arial"/>
          <w:i/>
          <w:iCs/>
          <w:color w:val="000000"/>
        </w:rPr>
        <w:t>Ibid.</w:t>
      </w:r>
      <w:r w:rsidRPr="000B4B6E">
        <w:rPr>
          <w:rFonts w:ascii="Arial" w:eastAsia="Times New Roman" w:hAnsi="Arial" w:cs="Arial"/>
          <w:color w:val="000000"/>
        </w:rPr>
        <w:t> Thus, the defense's freedom from state authority is not just empirically true, but is a constitutionally mandated attribute of our adversarial system.</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Because this Court deems the “under color of state law” requirement that was not satisfied in </w:t>
      </w:r>
      <w:r w:rsidRPr="000B4B6E">
        <w:rPr>
          <w:rFonts w:ascii="Arial" w:eastAsia="Times New Roman" w:hAnsi="Arial" w:cs="Arial"/>
          <w:i/>
          <w:iCs/>
          <w:color w:val="000000"/>
        </w:rPr>
        <w:t>Dodson</w:t>
      </w:r>
      <w:r w:rsidRPr="000B4B6E">
        <w:rPr>
          <w:rFonts w:ascii="Arial" w:eastAsia="Times New Roman" w:hAnsi="Arial" w:cs="Arial"/>
          <w:color w:val="000000"/>
        </w:rPr>
        <w:t> identical to the Fourteenth Amendment's state action requirement, see </w:t>
      </w:r>
      <w:r w:rsidRPr="000B4B6E">
        <w:rPr>
          <w:rFonts w:ascii="Arial" w:eastAsia="Times New Roman" w:hAnsi="Arial" w:cs="Arial"/>
          <w:i/>
          <w:iCs/>
          <w:color w:val="000000"/>
        </w:rPr>
        <w:t>Lugar, supra,</w:t>
      </w:r>
      <w:r w:rsidRPr="000B4B6E">
        <w:rPr>
          <w:rFonts w:ascii="Arial" w:eastAsia="Times New Roman" w:hAnsi="Arial" w:cs="Arial"/>
          <w:color w:val="000000"/>
        </w:rPr>
        <w:t> 457 U.S., at 929, 102 S.Ct., at 2749–2750, the holding of </w:t>
      </w:r>
      <w:r w:rsidRPr="000B4B6E">
        <w:rPr>
          <w:rFonts w:ascii="Arial" w:eastAsia="Times New Roman" w:hAnsi="Arial" w:cs="Arial"/>
          <w:i/>
          <w:iCs/>
          <w:color w:val="000000"/>
        </w:rPr>
        <w:t>Dodson</w:t>
      </w:r>
      <w:r w:rsidRPr="000B4B6E">
        <w:rPr>
          <w:rFonts w:ascii="Arial" w:eastAsia="Times New Roman" w:hAnsi="Arial" w:cs="Arial"/>
          <w:color w:val="000000"/>
        </w:rPr>
        <w:t> simply cannot be squared with today's decision. In particular, </w:t>
      </w:r>
      <w:r w:rsidRPr="000B4B6E">
        <w:rPr>
          <w:rFonts w:ascii="Arial" w:eastAsia="Times New Roman" w:hAnsi="Arial" w:cs="Arial"/>
          <w:i/>
          <w:iCs/>
          <w:color w:val="000000"/>
        </w:rPr>
        <w:t>Dodson</w:t>
      </w:r>
      <w:r w:rsidRPr="000B4B6E">
        <w:rPr>
          <w:rFonts w:ascii="Arial" w:eastAsia="Times New Roman" w:hAnsi="Arial" w:cs="Arial"/>
          <w:color w:val="000000"/>
        </w:rPr>
        <w:t> cannot be explained away as a case concerned exclusively with the employment status of public defenders. See </w:t>
      </w:r>
      <w:r w:rsidRPr="000B4B6E">
        <w:rPr>
          <w:rFonts w:ascii="Arial" w:eastAsia="Times New Roman" w:hAnsi="Arial" w:cs="Arial"/>
          <w:i/>
          <w:iCs/>
          <w:color w:val="000000"/>
        </w:rPr>
        <w:t>ante,</w:t>
      </w:r>
      <w:r w:rsidRPr="000B4B6E">
        <w:rPr>
          <w:rFonts w:ascii="Arial" w:eastAsia="Times New Roman" w:hAnsi="Arial" w:cs="Arial"/>
          <w:color w:val="000000"/>
        </w:rPr>
        <w:t> at 2356. The </w:t>
      </w:r>
      <w:r w:rsidRPr="000B4B6E">
        <w:rPr>
          <w:rFonts w:ascii="Arial" w:eastAsia="Times New Roman" w:hAnsi="Arial" w:cs="Arial"/>
          <w:i/>
          <w:iCs/>
          <w:color w:val="000000"/>
        </w:rPr>
        <w:t>Dodson</w:t>
      </w:r>
      <w:r w:rsidRPr="000B4B6E">
        <w:rPr>
          <w:rFonts w:ascii="Arial" w:eastAsia="Times New Roman" w:hAnsi="Arial" w:cs="Arial"/>
          <w:color w:val="000000"/>
        </w:rPr>
        <w:t> Court reasoned that public defenders performing traditional defense functions are not state actors because they occupy the same position as other defense attorneys in relevant respects. 454 U.S., at 319–325, 102 S.Ct., at 450–454. This reasoning followed on the heels of a critical determination: Defending an accused “is essentially a private function,” not state action. </w:t>
      </w:r>
      <w:r w:rsidRPr="000B4B6E">
        <w:rPr>
          <w:rFonts w:ascii="Arial" w:eastAsia="Times New Roman" w:hAnsi="Arial" w:cs="Arial"/>
          <w:i/>
          <w:iCs/>
          <w:color w:val="000000"/>
        </w:rPr>
        <w:t>Id.,</w:t>
      </w:r>
      <w:r w:rsidRPr="000B4B6E">
        <w:rPr>
          <w:rFonts w:ascii="Arial" w:eastAsia="Times New Roman" w:hAnsi="Arial" w:cs="Arial"/>
          <w:color w:val="000000"/>
        </w:rPr>
        <w:t> at 319, 102 S.Ct., at 450. The Court's refusal to acknowledge </w:t>
      </w:r>
      <w:r w:rsidRPr="000B4B6E">
        <w:rPr>
          <w:rFonts w:ascii="Arial" w:eastAsia="Times New Roman" w:hAnsi="Arial" w:cs="Arial"/>
          <w:i/>
          <w:iCs/>
          <w:color w:val="000000"/>
        </w:rPr>
        <w:t>Dodson</w:t>
      </w:r>
      <w:r w:rsidRPr="000B4B6E">
        <w:rPr>
          <w:rFonts w:ascii="Arial" w:eastAsia="Times New Roman" w:hAnsi="Arial" w:cs="Arial"/>
          <w:color w:val="000000"/>
        </w:rPr>
        <w:t>'s initial holding, on which the entire opinion turned, will not make that holding go away.</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Court also seeks to evade </w:t>
      </w:r>
      <w:r w:rsidRPr="000B4B6E">
        <w:rPr>
          <w:rFonts w:ascii="Arial" w:eastAsia="Times New Roman" w:hAnsi="Arial" w:cs="Arial"/>
          <w:i/>
          <w:iCs/>
          <w:color w:val="000000"/>
        </w:rPr>
        <w:t>Dodson</w:t>
      </w:r>
      <w:r w:rsidRPr="000B4B6E">
        <w:rPr>
          <w:rFonts w:ascii="Arial" w:eastAsia="Times New Roman" w:hAnsi="Arial" w:cs="Arial"/>
          <w:color w:val="000000"/>
        </w:rPr>
        <w:t>'s logic by spinning out a theory that defendants and their lawyers transmogrify from government adversaries into state actors when they exercise a peremptory challenge, and then change back to perform other defense functions. See </w:t>
      </w:r>
      <w:r w:rsidRPr="000B4B6E">
        <w:rPr>
          <w:rFonts w:ascii="Arial" w:eastAsia="Times New Roman" w:hAnsi="Arial" w:cs="Arial"/>
          <w:i/>
          <w:iCs/>
          <w:color w:val="000000"/>
        </w:rPr>
        <w:t>ante,</w:t>
      </w:r>
      <w:r w:rsidRPr="000B4B6E">
        <w:rPr>
          <w:rFonts w:ascii="Arial" w:eastAsia="Times New Roman" w:hAnsi="Arial" w:cs="Arial"/>
          <w:color w:val="000000"/>
        </w:rPr>
        <w:t> at 2356. </w:t>
      </w:r>
      <w:r w:rsidRPr="000B4B6E">
        <w:rPr>
          <w:rFonts w:ascii="Arial" w:eastAsia="Times New Roman" w:hAnsi="Arial" w:cs="Arial"/>
          <w:i/>
          <w:iCs/>
          <w:color w:val="000000"/>
        </w:rPr>
        <w:t>Dodson,</w:t>
      </w:r>
      <w:r w:rsidRPr="000B4B6E">
        <w:rPr>
          <w:rFonts w:ascii="Arial" w:eastAsia="Times New Roman" w:hAnsi="Arial" w:cs="Arial"/>
          <w:color w:val="000000"/>
        </w:rPr>
        <w:t> however, established that even though public defenders might act under color of state law when carrying out administrative or investigative functions outside a courtroom, they are not vested with state authority “when performing a lawyer's traditional functions as counsel to a defendant in a </w:t>
      </w:r>
      <w:r w:rsidRPr="000B4B6E">
        <w:rPr>
          <w:rFonts w:ascii="Arial" w:eastAsia="Times New Roman" w:hAnsi="Arial" w:cs="Arial"/>
          <w:color w:val="000000"/>
          <w:shd w:val="clear" w:color="auto" w:fill="FFFFFF"/>
        </w:rPr>
        <w:t>*66</w:t>
      </w:r>
      <w:r w:rsidRPr="000B4B6E">
        <w:rPr>
          <w:rFonts w:ascii="Arial" w:eastAsia="Times New Roman" w:hAnsi="Arial" w:cs="Arial"/>
          <w:color w:val="000000"/>
        </w:rPr>
        <w:t> criminal proceeding.” 454 U.S., at 325, 102 S.Ct., at 453. Since making peremptory challenges plainly qualifies as a “traditional function” of criminal defense lawyers, see </w:t>
      </w:r>
      <w:r w:rsidRPr="000B4B6E">
        <w:rPr>
          <w:rFonts w:ascii="Arial" w:eastAsia="Times New Roman" w:hAnsi="Arial" w:cs="Arial"/>
          <w:i/>
          <w:iCs/>
          <w:color w:val="000000"/>
        </w:rPr>
        <w:t>Swain v. Alabama,</w:t>
      </w:r>
      <w:r w:rsidRPr="000B4B6E">
        <w:rPr>
          <w:rFonts w:ascii="Arial" w:eastAsia="Times New Roman" w:hAnsi="Arial" w:cs="Arial"/>
          <w:color w:val="000000"/>
        </w:rPr>
        <w:t> 380 U.S. 202, 212–219, 85 S.Ct. 824, 831–835, 13 L.Ed.2d 759 (1965); </w:t>
      </w:r>
      <w:r w:rsidRPr="000B4B6E">
        <w:rPr>
          <w:rFonts w:ascii="Arial" w:eastAsia="Times New Roman" w:hAnsi="Arial" w:cs="Arial"/>
          <w:i/>
          <w:iCs/>
          <w:color w:val="000000"/>
        </w:rPr>
        <w:t>Lewis v. United States,</w:t>
      </w:r>
      <w:r w:rsidRPr="000B4B6E">
        <w:rPr>
          <w:rFonts w:ascii="Arial" w:eastAsia="Times New Roman" w:hAnsi="Arial" w:cs="Arial"/>
          <w:color w:val="000000"/>
        </w:rPr>
        <w:t> 146 U.S. 370, 376, 13 S.Ct. 136, 138, 36 L.Ed. 1011 (1892), </w:t>
      </w:r>
      <w:r w:rsidRPr="000B4B6E">
        <w:rPr>
          <w:rFonts w:ascii="Arial" w:eastAsia="Times New Roman" w:hAnsi="Arial" w:cs="Arial"/>
          <w:i/>
          <w:iCs/>
          <w:color w:val="000000"/>
        </w:rPr>
        <w:t>Dodson</w:t>
      </w:r>
      <w:r w:rsidRPr="000B4B6E">
        <w:rPr>
          <w:rFonts w:ascii="Arial" w:eastAsia="Times New Roman" w:hAnsi="Arial" w:cs="Arial"/>
          <w:color w:val="000000"/>
        </w:rPr>
        <w:t> forecloses the Court's functional analysis.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Even aside from our prior rejection of it, the Court's functional theory fails. “[A] State normally can be held responsible for a private decision only when it has exercised coercive power or has provided such significant encouragement ... that the choice must in law be deemed to be that of the State.” </w:t>
      </w:r>
      <w:r w:rsidRPr="000B4B6E">
        <w:rPr>
          <w:rFonts w:ascii="Arial" w:eastAsia="Times New Roman" w:hAnsi="Arial" w:cs="Arial"/>
          <w:color w:val="000000"/>
          <w:shd w:val="clear" w:color="auto" w:fill="FFFFFF"/>
        </w:rPr>
        <w:t>**2363</w:t>
      </w:r>
      <w:r w:rsidRPr="000B4B6E">
        <w:rPr>
          <w:rFonts w:ascii="Arial" w:eastAsia="Times New Roman" w:hAnsi="Arial" w:cs="Arial"/>
          <w:color w:val="000000"/>
        </w:rPr>
        <w:t> </w:t>
      </w:r>
      <w:r w:rsidRPr="000B4B6E">
        <w:rPr>
          <w:rFonts w:ascii="Arial" w:eastAsia="Times New Roman" w:hAnsi="Arial" w:cs="Arial"/>
          <w:i/>
          <w:iCs/>
          <w:color w:val="000000"/>
        </w:rPr>
        <w:t>Blum v. Yaretsky,</w:t>
      </w:r>
      <w:r w:rsidRPr="000B4B6E">
        <w:rPr>
          <w:rFonts w:ascii="Arial" w:eastAsia="Times New Roman" w:hAnsi="Arial" w:cs="Arial"/>
          <w:color w:val="000000"/>
        </w:rPr>
        <w:t> 457 U.S. 991, 1004, 102 S.Ct. 2777, 2786, 73 L.Ed.2d 534 (1982). Thus, a private party's exercise of choice allowed by state law does not amount to state action for purposes of the Fourteenth Amendment so long as “the initiative comes from [the private party] and not from the State.” </w:t>
      </w:r>
      <w:r w:rsidRPr="000B4B6E">
        <w:rPr>
          <w:rFonts w:ascii="Arial" w:eastAsia="Times New Roman" w:hAnsi="Arial" w:cs="Arial"/>
          <w:i/>
          <w:iCs/>
          <w:color w:val="000000"/>
        </w:rPr>
        <w:t>Jackson v. Metropolitan Edison Co.,</w:t>
      </w:r>
      <w:r w:rsidRPr="000B4B6E">
        <w:rPr>
          <w:rFonts w:ascii="Arial" w:eastAsia="Times New Roman" w:hAnsi="Arial" w:cs="Arial"/>
          <w:color w:val="000000"/>
        </w:rPr>
        <w:t> 419 U.S. 345, 357, 95 S.Ct. 449, 457, 42 L.Ed.2d 477 (1974). See </w:t>
      </w:r>
      <w:r w:rsidRPr="000B4B6E">
        <w:rPr>
          <w:rFonts w:ascii="Arial" w:eastAsia="Times New Roman" w:hAnsi="Arial" w:cs="Arial"/>
          <w:i/>
          <w:iCs/>
          <w:color w:val="000000"/>
        </w:rPr>
        <w:t>Flagg Bros., Inc. v. Brooks,</w:t>
      </w:r>
      <w:r w:rsidRPr="000B4B6E">
        <w:rPr>
          <w:rFonts w:ascii="Arial" w:eastAsia="Times New Roman" w:hAnsi="Arial" w:cs="Arial"/>
          <w:color w:val="000000"/>
        </w:rPr>
        <w:t> 436 U.S. 149, 165, 98 S.Ct. 1729, 1738, 56 L.Ed.2d 185 (1978) (State not responsible for a decision it “permits but does not compel”). The government in no way influences the defense's decision to use a peremptory challenge to strike a particular juror. Our adversarial system of criminal justice and the traditions of the peremptory challenge vest the decision to strike a juror entirely with the accused. A defendant “may, if he chooses, peremptorily challenge ‘on his own dislike, without showing any cause;’ he may exercise that right without reason or for no reason, arbitrarily and capriciously.” </w:t>
      </w:r>
      <w:r w:rsidRPr="000B4B6E">
        <w:rPr>
          <w:rFonts w:ascii="Arial" w:eastAsia="Times New Roman" w:hAnsi="Arial" w:cs="Arial"/>
          <w:i/>
          <w:iCs/>
          <w:color w:val="000000"/>
        </w:rPr>
        <w:t>Pointer v. United States,</w:t>
      </w:r>
      <w:r w:rsidRPr="000B4B6E">
        <w:rPr>
          <w:rFonts w:ascii="Arial" w:eastAsia="Times New Roman" w:hAnsi="Arial" w:cs="Arial"/>
          <w:color w:val="000000"/>
        </w:rPr>
        <w:t> 151 U.S. 396, 408, 14 S.Ct. 410, 414, 38 L.Ed. 208 (1894) (quoting 1 E. Coke, Institutes 156b (19th ed. 1832)). “The essential nature of the peremptory challenge is that it is one exercised without a reason stated, without inquiry and without being subject to the court's control.” </w:t>
      </w:r>
      <w:r w:rsidRPr="000B4B6E">
        <w:rPr>
          <w:rFonts w:ascii="Arial" w:eastAsia="Times New Roman" w:hAnsi="Arial" w:cs="Arial"/>
          <w:i/>
          <w:iCs/>
          <w:color w:val="000000"/>
        </w:rPr>
        <w:t>Swain, supra,</w:t>
      </w:r>
      <w:r w:rsidRPr="000B4B6E">
        <w:rPr>
          <w:rFonts w:ascii="Arial" w:eastAsia="Times New Roman" w:hAnsi="Arial" w:cs="Arial"/>
          <w:color w:val="000000"/>
        </w:rPr>
        <w:t> 380 U.S., at 220, 85 S.Ct., at 836. See </w:t>
      </w:r>
      <w:r w:rsidRPr="000B4B6E">
        <w:rPr>
          <w:rFonts w:ascii="Arial" w:eastAsia="Times New Roman" w:hAnsi="Arial" w:cs="Arial"/>
          <w:i/>
          <w:iCs/>
          <w:color w:val="000000"/>
        </w:rPr>
        <w:t>Dodson, supra,</w:t>
      </w:r>
      <w:r w:rsidRPr="000B4B6E">
        <w:rPr>
          <w:rFonts w:ascii="Arial" w:eastAsia="Times New Roman" w:hAnsi="Arial" w:cs="Arial"/>
          <w:color w:val="000000"/>
        </w:rPr>
        <w:t> 454 U.S., at 321–322, 102 S.Ct., at 451–452; </w:t>
      </w:r>
      <w:r w:rsidRPr="000B4B6E">
        <w:rPr>
          <w:rFonts w:ascii="Arial" w:eastAsia="Times New Roman" w:hAnsi="Arial" w:cs="Arial"/>
          <w:i/>
          <w:iCs/>
          <w:color w:val="000000"/>
        </w:rPr>
        <w:t>Lewis, supra,</w:t>
      </w:r>
      <w:r w:rsidRPr="000B4B6E">
        <w:rPr>
          <w:rFonts w:ascii="Arial" w:eastAsia="Times New Roman" w:hAnsi="Arial" w:cs="Arial"/>
          <w:color w:val="000000"/>
        </w:rPr>
        <w:t> 146 U.S., at 376, 378, 13 S.Ct., at 138, 139.</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Certainly,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did not render </w:t>
      </w:r>
      <w:r w:rsidRPr="000B4B6E">
        <w:rPr>
          <w:rFonts w:ascii="Arial" w:eastAsia="Times New Roman" w:hAnsi="Arial" w:cs="Arial"/>
          <w:i/>
          <w:iCs/>
          <w:color w:val="000000"/>
        </w:rPr>
        <w:t>Dodson</w:t>
      </w:r>
      <w:r w:rsidRPr="000B4B6E">
        <w:rPr>
          <w:rFonts w:ascii="Arial" w:eastAsia="Times New Roman" w:hAnsi="Arial" w:cs="Arial"/>
          <w:color w:val="000000"/>
        </w:rPr>
        <w:t> and its realistic approach to the state action inquiry dead letters. The </w:t>
      </w:r>
      <w:r w:rsidRPr="000B4B6E">
        <w:rPr>
          <w:rFonts w:ascii="Arial" w:eastAsia="Times New Roman" w:hAnsi="Arial" w:cs="Arial"/>
          <w:i/>
          <w:iCs/>
          <w:color w:val="000000"/>
        </w:rPr>
        <w:t>Edmonson</w:t>
      </w:r>
      <w:r w:rsidRPr="000B4B6E">
        <w:rPr>
          <w:rFonts w:ascii="Arial" w:eastAsia="Times New Roman" w:hAnsi="Arial" w:cs="Arial"/>
          <w:color w:val="000000"/>
        </w:rPr>
        <w:t> Court distinguished </w:t>
      </w:r>
      <w:r w:rsidRPr="000B4B6E">
        <w:rPr>
          <w:rFonts w:ascii="Arial" w:eastAsia="Times New Roman" w:hAnsi="Arial" w:cs="Arial"/>
          <w:color w:val="000000"/>
          <w:shd w:val="clear" w:color="auto" w:fill="FFFFFF"/>
        </w:rPr>
        <w:t>*67</w:t>
      </w:r>
      <w:r w:rsidRPr="000B4B6E">
        <w:rPr>
          <w:rFonts w:ascii="Arial" w:eastAsia="Times New Roman" w:hAnsi="Arial" w:cs="Arial"/>
          <w:color w:val="000000"/>
        </w:rPr>
        <w:t> </w:t>
      </w:r>
      <w:r w:rsidRPr="000B4B6E">
        <w:rPr>
          <w:rFonts w:ascii="Arial" w:eastAsia="Times New Roman" w:hAnsi="Arial" w:cs="Arial"/>
          <w:i/>
          <w:iCs/>
          <w:color w:val="000000"/>
        </w:rPr>
        <w:t>Dodson</w:t>
      </w:r>
      <w:r w:rsidRPr="000B4B6E">
        <w:rPr>
          <w:rFonts w:ascii="Arial" w:eastAsia="Times New Roman" w:hAnsi="Arial" w:cs="Arial"/>
          <w:color w:val="000000"/>
        </w:rPr>
        <w:t> by saying: “In the ordinary context of civil litigation in which the government is not a party, an adversarial relation does not exist between the government and a private litigant. In the jury selection process, the government and private litigants work for the same end.” </w:t>
      </w:r>
      <w:r w:rsidRPr="000B4B6E">
        <w:rPr>
          <w:rFonts w:ascii="Arial" w:eastAsia="Times New Roman" w:hAnsi="Arial" w:cs="Arial"/>
          <w:i/>
          <w:iCs/>
          <w:color w:val="000000"/>
        </w:rPr>
        <w:t>Edmonson,</w:t>
      </w:r>
      <w:r w:rsidRPr="000B4B6E">
        <w:rPr>
          <w:rFonts w:ascii="Arial" w:eastAsia="Times New Roman" w:hAnsi="Arial" w:cs="Arial"/>
          <w:color w:val="000000"/>
        </w:rPr>
        <w:t> 500 U.S., at 627, 111 S.Ct., at 2086. While the nonpartisan administrative interests of the State and the partisan interests of private litigants may not be at odds during civil jury selection, the same cannot be said of the partisan interests of the State and the defendant during jury selection in a criminal trial. A private civil litigant opposes a private counterpart, but a criminal defendant is by design in an adversarial relationship with the government. Simply put, the defendant seeks to strike jurors predisposed to convict, while the State seeks to strike jurors predisposed to acquit. The </w:t>
      </w:r>
      <w:r w:rsidRPr="000B4B6E">
        <w:rPr>
          <w:rFonts w:ascii="Arial" w:eastAsia="Times New Roman" w:hAnsi="Arial" w:cs="Arial"/>
          <w:i/>
          <w:iCs/>
          <w:color w:val="000000"/>
        </w:rPr>
        <w:t>Edmonson</w:t>
      </w:r>
      <w:r w:rsidRPr="000B4B6E">
        <w:rPr>
          <w:rFonts w:ascii="Arial" w:eastAsia="Times New Roman" w:hAnsi="Arial" w:cs="Arial"/>
          <w:color w:val="000000"/>
        </w:rPr>
        <w:t> Court clearly recognized this point when it limited the statement that “an adversarial relation does not exist between the government and a private litigant” to “the ordinary context of </w:t>
      </w:r>
      <w:r w:rsidRPr="000B4B6E">
        <w:rPr>
          <w:rFonts w:ascii="Arial" w:eastAsia="Times New Roman" w:hAnsi="Arial" w:cs="Arial"/>
          <w:i/>
          <w:iCs/>
          <w:color w:val="000000"/>
        </w:rPr>
        <w:t>civil litigation in which the government is not a party.” Ibid.</w:t>
      </w:r>
      <w:r w:rsidRPr="000B4B6E">
        <w:rPr>
          <w:rFonts w:ascii="Arial" w:eastAsia="Times New Roman" w:hAnsi="Arial" w:cs="Arial"/>
          <w:color w:val="000000"/>
        </w:rPr>
        <w:t> (emphasis added).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From arrest, to trial, to possible sentencing and punishment, the antagonistic relationship between government and the accused is clear for all to see. Rather than squarely facing this fact, the Court, as in </w:t>
      </w:r>
      <w:r w:rsidRPr="000B4B6E">
        <w:rPr>
          <w:rFonts w:ascii="Arial" w:eastAsia="Times New Roman" w:hAnsi="Arial" w:cs="Arial"/>
          <w:i/>
          <w:iCs/>
          <w:color w:val="000000"/>
        </w:rPr>
        <w:t>Edmonson,</w:t>
      </w:r>
      <w:r w:rsidRPr="000B4B6E">
        <w:rPr>
          <w:rFonts w:ascii="Arial" w:eastAsia="Times New Roman" w:hAnsi="Arial" w:cs="Arial"/>
          <w:color w:val="000000"/>
        </w:rPr>
        <w:t> rests its finding of governmental action on the points that defendants exercise peremptory challenges in a courtroom and judges alter the composition of the jury in response to defendants' choices. I found this approach wanting in the context of civil controversies between private litigants, for reasons that need not be repeated here. See </w:t>
      </w:r>
      <w:r w:rsidRPr="000B4B6E">
        <w:rPr>
          <w:rFonts w:ascii="Arial" w:eastAsia="Times New Roman" w:hAnsi="Arial" w:cs="Arial"/>
          <w:i/>
          <w:iCs/>
          <w:color w:val="000000"/>
        </w:rPr>
        <w:t>id.,</w:t>
      </w:r>
      <w:r w:rsidRPr="000B4B6E">
        <w:rPr>
          <w:rFonts w:ascii="Arial" w:eastAsia="Times New Roman" w:hAnsi="Arial" w:cs="Arial"/>
          <w:color w:val="000000"/>
        </w:rPr>
        <w:t> at 632, 111 S.Ct., at 2089 (O'CONNOR, J., dissenting). But even if I thought </w:t>
      </w:r>
      <w:r w:rsidRPr="000B4B6E">
        <w:rPr>
          <w:rFonts w:ascii="Arial" w:eastAsia="Times New Roman" w:hAnsi="Arial" w:cs="Arial"/>
          <w:i/>
          <w:iCs/>
          <w:color w:val="000000"/>
        </w:rPr>
        <w:t>Edmonson</w:t>
      </w:r>
      <w:r w:rsidRPr="000B4B6E">
        <w:rPr>
          <w:rFonts w:ascii="Arial" w:eastAsia="Times New Roman" w:hAnsi="Arial" w:cs="Arial"/>
          <w:color w:val="000000"/>
        </w:rPr>
        <w:t> was correctly decided, I could not accept today's simplistic extension of it. </w:t>
      </w:r>
      <w:r w:rsidRPr="000B4B6E">
        <w:rPr>
          <w:rFonts w:ascii="Arial" w:eastAsia="Times New Roman" w:hAnsi="Arial" w:cs="Arial"/>
          <w:i/>
          <w:iCs/>
          <w:color w:val="000000"/>
        </w:rPr>
        <w:t>Dodson</w:t>
      </w:r>
      <w:r w:rsidRPr="000B4B6E">
        <w:rPr>
          <w:rFonts w:ascii="Arial" w:eastAsia="Times New Roman" w:hAnsi="Arial" w:cs="Arial"/>
          <w:color w:val="000000"/>
        </w:rPr>
        <w:t> makes clear that the unique relationship between criminal defendants and the State precludes attributing defendants' actions to the State, whatever is the case in civil trials. How could it be otherwise when the underlying question is </w:t>
      </w:r>
      <w:r w:rsidRPr="000B4B6E">
        <w:rPr>
          <w:rFonts w:ascii="Arial" w:eastAsia="Times New Roman" w:hAnsi="Arial" w:cs="Arial"/>
          <w:color w:val="000000"/>
          <w:shd w:val="clear" w:color="auto" w:fill="FFFFFF"/>
        </w:rPr>
        <w:t>*68</w:t>
      </w:r>
      <w:r w:rsidRPr="000B4B6E">
        <w:rPr>
          <w:rFonts w:ascii="Arial" w:eastAsia="Times New Roman" w:hAnsi="Arial" w:cs="Arial"/>
          <w:color w:val="000000"/>
        </w:rPr>
        <w:t> whether the accused “c[an] be described in all fairness as a state actor”? 500 U.S., at 620, 111 S.Ct., at 2083. As </w:t>
      </w:r>
      <w:r w:rsidRPr="000B4B6E">
        <w:rPr>
          <w:rFonts w:ascii="Arial" w:eastAsia="Times New Roman" w:hAnsi="Arial" w:cs="Arial"/>
          <w:i/>
          <w:iCs/>
          <w:color w:val="000000"/>
        </w:rPr>
        <w:t>Dodson</w:t>
      </w:r>
      <w:r w:rsidRPr="000B4B6E">
        <w:rPr>
          <w:rFonts w:ascii="Arial" w:eastAsia="Times New Roman" w:hAnsi="Arial" w:cs="Arial"/>
          <w:color w:val="000000"/>
        </w:rPr>
        <w:t> accords with our state action jurisprudence and with common sense, I would honor it.</w:t>
      </w:r>
    </w:p>
    <w:p w:rsidR="000B4B6E" w:rsidRPr="000B4B6E" w:rsidRDefault="000B4B6E" w:rsidP="000B4B6E">
      <w:pPr>
        <w:shd w:val="clear" w:color="auto" w:fill="FFFFFF"/>
        <w:jc w:val="center"/>
        <w:rPr>
          <w:rFonts w:ascii="Arial" w:eastAsia="Times New Roman" w:hAnsi="Arial" w:cs="Arial"/>
          <w:b/>
          <w:bCs/>
          <w:color w:val="000000"/>
        </w:rPr>
      </w:pPr>
      <w:r w:rsidRPr="000B4B6E">
        <w:rPr>
          <w:rFonts w:ascii="Arial" w:eastAsia="Times New Roman" w:hAnsi="Arial" w:cs="Arial"/>
          <w:b/>
          <w:bCs/>
          <w:color w:val="000000"/>
          <w:shd w:val="clear" w:color="auto" w:fill="FFFFFF"/>
        </w:rPr>
        <w:t>II</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What really seems to bother the Court is the prospect that leaving criminal defendants </w:t>
      </w:r>
      <w:r w:rsidRPr="000B4B6E">
        <w:rPr>
          <w:rFonts w:ascii="Arial" w:eastAsia="Times New Roman" w:hAnsi="Arial" w:cs="Arial"/>
          <w:color w:val="000000"/>
          <w:shd w:val="clear" w:color="auto" w:fill="FFFFFF"/>
        </w:rPr>
        <w:t>**2364</w:t>
      </w:r>
      <w:r w:rsidRPr="000B4B6E">
        <w:rPr>
          <w:rFonts w:ascii="Arial" w:eastAsia="Times New Roman" w:hAnsi="Arial" w:cs="Arial"/>
          <w:color w:val="000000"/>
        </w:rPr>
        <w:t> and their attorneys free to make racially motivated peremptory challenges will undermine the ideal of nondiscriminatory jury selection we espoused in </w:t>
      </w:r>
      <w:r w:rsidRPr="000B4B6E">
        <w:rPr>
          <w:rFonts w:ascii="Arial" w:eastAsia="Times New Roman" w:hAnsi="Arial" w:cs="Arial"/>
          <w:i/>
          <w:iCs/>
          <w:color w:val="000000"/>
        </w:rPr>
        <w:t>Batson,</w:t>
      </w:r>
      <w:r w:rsidRPr="000B4B6E">
        <w:rPr>
          <w:rFonts w:ascii="Arial" w:eastAsia="Times New Roman" w:hAnsi="Arial" w:cs="Arial"/>
          <w:color w:val="000000"/>
        </w:rPr>
        <w:t> 476 U.S., at 85–88, 106 S.Ct., at 1716–1718. The concept that the government alone must honor constitutional dictates, however, is a fundamental tenet of our legal order, not an obstacle to be circumvented. This is particularly so in the context of criminal trials, where we have held the prosecution to uniquely high standards of conduct. See </w:t>
      </w:r>
      <w:r w:rsidRPr="000B4B6E">
        <w:rPr>
          <w:rFonts w:ascii="Arial" w:eastAsia="Times New Roman" w:hAnsi="Arial" w:cs="Arial"/>
          <w:i/>
          <w:iCs/>
          <w:color w:val="000000"/>
        </w:rPr>
        <w:t>Brady v. Maryland,</w:t>
      </w:r>
      <w:r w:rsidRPr="000B4B6E">
        <w:rPr>
          <w:rFonts w:ascii="Arial" w:eastAsia="Times New Roman" w:hAnsi="Arial" w:cs="Arial"/>
          <w:color w:val="000000"/>
        </w:rPr>
        <w:t> 373 U.S. 83, 83 S.Ct. 1194, 10 L.Ed.2d 215 (1963) (disclosure of evidence favorable to the accused); </w:t>
      </w:r>
      <w:r w:rsidRPr="000B4B6E">
        <w:rPr>
          <w:rFonts w:ascii="Arial" w:eastAsia="Times New Roman" w:hAnsi="Arial" w:cs="Arial"/>
          <w:i/>
          <w:iCs/>
          <w:color w:val="000000"/>
        </w:rPr>
        <w:t>Berger v. United States,</w:t>
      </w:r>
      <w:r w:rsidRPr="000B4B6E">
        <w:rPr>
          <w:rFonts w:ascii="Arial" w:eastAsia="Times New Roman" w:hAnsi="Arial" w:cs="Arial"/>
          <w:color w:val="000000"/>
        </w:rPr>
        <w:t> 295 U.S. 78, 88, 55 S.Ct. 629, 633, 79 L.Ed. 1314 (1935) (“The [prosecutor] is the representative not of an ordinary party to a controversy, but of a sovereignty ... whose interest ... in a criminal prosecution is not that it shall win a case, but that justice shall be done”).</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Considered in purely pragmatic terms, moreover, the Court's holding may fail to advance nondiscriminatory criminal justice. It is by now clear that conscious and unconscious racism can affect the way white jurors perceive minority defendants and the facts presented at their trials, perhaps determining the verdict of guilt or innocence. See Developments in the Law—Race and the Criminal Process, 101 Harv.L.Rev. 1472, 1559–1560 (1988); Colbert, Challenging the Challenge: Thirteenth Amendment as a Prohibition against the Racial Use of Peremptory Challenges, 76 Cornell L.Rev. 1, 110–112 (1990). Using peremptory challenges to secure minority representation on the jury may help to overcome such racial bias, for there is substantial reason to believe that the distorting influence of race is minimized on a racially mixed jury. See </w:t>
      </w:r>
      <w:r w:rsidRPr="000B4B6E">
        <w:rPr>
          <w:rFonts w:ascii="Arial" w:eastAsia="Times New Roman" w:hAnsi="Arial" w:cs="Arial"/>
          <w:i/>
          <w:iCs/>
          <w:color w:val="000000"/>
        </w:rPr>
        <w:t>id.,</w:t>
      </w:r>
      <w:r w:rsidRPr="000B4B6E">
        <w:rPr>
          <w:rFonts w:ascii="Arial" w:eastAsia="Times New Roman" w:hAnsi="Arial" w:cs="Arial"/>
          <w:color w:val="000000"/>
        </w:rPr>
        <w:t> at 112–115; Developments in </w:t>
      </w:r>
      <w:r w:rsidRPr="000B4B6E">
        <w:rPr>
          <w:rFonts w:ascii="Arial" w:eastAsia="Times New Roman" w:hAnsi="Arial" w:cs="Arial"/>
          <w:color w:val="000000"/>
          <w:shd w:val="clear" w:color="auto" w:fill="FFFFFF"/>
        </w:rPr>
        <w:t>*69</w:t>
      </w:r>
      <w:r w:rsidRPr="000B4B6E">
        <w:rPr>
          <w:rFonts w:ascii="Arial" w:eastAsia="Times New Roman" w:hAnsi="Arial" w:cs="Arial"/>
          <w:color w:val="000000"/>
        </w:rPr>
        <w:t> the Law, </w:t>
      </w:r>
      <w:r w:rsidRPr="000B4B6E">
        <w:rPr>
          <w:rFonts w:ascii="Arial" w:eastAsia="Times New Roman" w:hAnsi="Arial" w:cs="Arial"/>
          <w:i/>
          <w:iCs/>
          <w:color w:val="000000"/>
        </w:rPr>
        <w:t>supra,</w:t>
      </w:r>
      <w:r w:rsidRPr="000B4B6E">
        <w:rPr>
          <w:rFonts w:ascii="Arial" w:eastAsia="Times New Roman" w:hAnsi="Arial" w:cs="Arial"/>
          <w:color w:val="000000"/>
        </w:rPr>
        <w:t> at 1559–1560. As </w:t>
      </w:r>
      <w:r w:rsidRPr="000B4B6E">
        <w:rPr>
          <w:rFonts w:ascii="Arial" w:eastAsia="Times New Roman" w:hAnsi="Arial" w:cs="Arial"/>
          <w:i/>
          <w:iCs/>
          <w:color w:val="000000"/>
        </w:rPr>
        <w:t>amicus</w:t>
      </w:r>
      <w:r w:rsidRPr="000B4B6E">
        <w:rPr>
          <w:rFonts w:ascii="Arial" w:eastAsia="Times New Roman" w:hAnsi="Arial" w:cs="Arial"/>
          <w:color w:val="000000"/>
        </w:rPr>
        <w:t> NAACP Legal Defense and Educational Fund explained in this case:</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“The ability to use peremptory challenges to exclude majority race jurors may be crucial to empaneling a fair jury. In many cases an African American, or other minority defendant, may be faced with a jury array in which his racial group is underrepresented to some degree, but not sufficiently to permit challenge under the Fourteenth Amendment. The only possible chance the defendant may have of having any minority jurors on the jury that actually tries him will be if he uses his peremptories to strike members of the majority race.” Brief for NAACP Legal Defense and Educational Fund, Inc., as </w:t>
      </w:r>
      <w:r w:rsidRPr="000B4B6E">
        <w:rPr>
          <w:rFonts w:ascii="Arial" w:eastAsia="Times New Roman" w:hAnsi="Arial" w:cs="Arial"/>
          <w:i/>
          <w:iCs/>
          <w:color w:val="000000"/>
        </w:rPr>
        <w:t>Amicus Curiae</w:t>
      </w:r>
      <w:r w:rsidRPr="000B4B6E">
        <w:rPr>
          <w:rFonts w:ascii="Arial" w:eastAsia="Times New Roman" w:hAnsi="Arial" w:cs="Arial"/>
          <w:color w:val="000000"/>
        </w:rPr>
        <w:t> 9–10 (footnote omitted).</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See Brief for National Association of Criminal Defense Lawyers as </w:t>
      </w:r>
      <w:r w:rsidRPr="000B4B6E">
        <w:rPr>
          <w:rFonts w:ascii="Arial" w:eastAsia="Times New Roman" w:hAnsi="Arial" w:cs="Arial"/>
          <w:i/>
          <w:iCs/>
          <w:color w:val="000000"/>
        </w:rPr>
        <w:t>Amicus Curiae</w:t>
      </w:r>
      <w:r w:rsidRPr="000B4B6E">
        <w:rPr>
          <w:rFonts w:ascii="Arial" w:eastAsia="Times New Roman" w:hAnsi="Arial" w:cs="Arial"/>
          <w:color w:val="000000"/>
        </w:rPr>
        <w:t> 56–57; </w:t>
      </w:r>
      <w:r w:rsidRPr="000B4B6E">
        <w:rPr>
          <w:rFonts w:ascii="Arial" w:eastAsia="Times New Roman" w:hAnsi="Arial" w:cs="Arial"/>
          <w:i/>
          <w:iCs/>
          <w:color w:val="000000"/>
        </w:rPr>
        <w:t>Edmonson, supra,</w:t>
      </w:r>
      <w:r w:rsidRPr="000B4B6E">
        <w:rPr>
          <w:rFonts w:ascii="Arial" w:eastAsia="Times New Roman" w:hAnsi="Arial" w:cs="Arial"/>
          <w:color w:val="000000"/>
        </w:rPr>
        <w:t> 500 U.S., at 644, 111 S.Ct., at 2095 (SCALIA, J., dissenting). In a world where the outcome of a minority defendant's trial may turn on the misconceptions or biases of white jurors, there is cause to question the implications of this Court's good intentions.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That the Constitution does not give federal judges the reach to wipe all marks of racism from every courtroom in the land is frustrating, to be sure. But such limitations are the necessary and intended consequence of the Fourteenth Amendment's state action requirement. Because I cannot accept the Court's conclusion that government is responsible for decisions criminal defendants make while fighting state prosecution, I respectfully dissent.</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Justice SCALIA, dissenting.</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I agree with the Court that its judgment follows logically from </w:t>
      </w:r>
      <w:r w:rsidRPr="000B4B6E">
        <w:rPr>
          <w:rFonts w:ascii="Arial" w:eastAsia="Times New Roman" w:hAnsi="Arial" w:cs="Arial"/>
          <w:i/>
          <w:iCs/>
          <w:color w:val="000000"/>
        </w:rPr>
        <w:t>Edmonson v. Leesville Concrete Co.,</w:t>
      </w:r>
      <w:r w:rsidRPr="000B4B6E">
        <w:rPr>
          <w:rFonts w:ascii="Arial" w:eastAsia="Times New Roman" w:hAnsi="Arial" w:cs="Arial"/>
          <w:color w:val="000000"/>
        </w:rPr>
        <w:t> 500 U.S. 614, 111 S.Ct. 2077, 114 L.Ed.2d 660 (1991). For the reasons given in the </w:t>
      </w:r>
      <w:r w:rsidRPr="000B4B6E">
        <w:rPr>
          <w:rFonts w:ascii="Arial" w:eastAsia="Times New Roman" w:hAnsi="Arial" w:cs="Arial"/>
          <w:i/>
          <w:iCs/>
          <w:color w:val="000000"/>
        </w:rPr>
        <w:t>Edmonson</w:t>
      </w:r>
      <w:r w:rsidRPr="000B4B6E">
        <w:rPr>
          <w:rFonts w:ascii="Arial" w:eastAsia="Times New Roman" w:hAnsi="Arial" w:cs="Arial"/>
          <w:color w:val="000000"/>
        </w:rPr>
        <w:t> dissents, however, I think that case was wrongly decided. Barely a year later, we witness its reduction to the terminally absurd: </w:t>
      </w:r>
      <w:r w:rsidRPr="000B4B6E">
        <w:rPr>
          <w:rFonts w:ascii="Arial" w:eastAsia="Times New Roman" w:hAnsi="Arial" w:cs="Arial"/>
          <w:color w:val="000000"/>
          <w:shd w:val="clear" w:color="auto" w:fill="FFFFFF"/>
        </w:rPr>
        <w:t>*70</w:t>
      </w:r>
      <w:r w:rsidRPr="000B4B6E">
        <w:rPr>
          <w:rFonts w:ascii="Arial" w:eastAsia="Times New Roman" w:hAnsi="Arial" w:cs="Arial"/>
          <w:color w:val="000000"/>
        </w:rPr>
        <w:t> A criminal defendant, in the process of defending himself against the state, is held to be acting on behalf of the state. Justice O'CONNOR demonstrates the sheer inanity of this proposition (in case the mere statement of it does not suffice), and </w:t>
      </w:r>
      <w:r w:rsidRPr="000B4B6E">
        <w:rPr>
          <w:rFonts w:ascii="Arial" w:eastAsia="Times New Roman" w:hAnsi="Arial" w:cs="Arial"/>
          <w:color w:val="000000"/>
          <w:shd w:val="clear" w:color="auto" w:fill="FFFFFF"/>
        </w:rPr>
        <w:t>**2365</w:t>
      </w:r>
      <w:r w:rsidRPr="000B4B6E">
        <w:rPr>
          <w:rFonts w:ascii="Arial" w:eastAsia="Times New Roman" w:hAnsi="Arial" w:cs="Arial"/>
          <w:color w:val="000000"/>
        </w:rPr>
        <w:t> the contrived nature of the Court's justifications. I see no need to add to her discussion, and differ from her views only in that I do not consider </w:t>
      </w:r>
      <w:r w:rsidRPr="000B4B6E">
        <w:rPr>
          <w:rFonts w:ascii="Arial" w:eastAsia="Times New Roman" w:hAnsi="Arial" w:cs="Arial"/>
          <w:i/>
          <w:iCs/>
          <w:color w:val="000000"/>
        </w:rPr>
        <w:t>Edmonson</w:t>
      </w:r>
      <w:r w:rsidRPr="000B4B6E">
        <w:rPr>
          <w:rFonts w:ascii="Arial" w:eastAsia="Times New Roman" w:hAnsi="Arial" w:cs="Arial"/>
          <w:color w:val="000000"/>
        </w:rPr>
        <w:t> distinguishable in principle—except in the principle that a bad decision should not be followed logically to its illogical conclusion.</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Today's decision gives the lie once again to the belief that an activist, “evolutionary” constitutional jurisprudence always evolves in the direction of greater individual rights. In the interest of promoting the supposedly greater good of race relations in the society as a whole (make no mistake that that is what underlies all of this), we use the Constitution to destroy the ages-old right of criminal defendants to exercise peremptory challenges as they wish, to secure a jury that they consider fair. I dissent.</w:t>
      </w:r>
    </w:p>
    <w:p w:rsidR="000B4B6E" w:rsidRPr="000B4B6E" w:rsidRDefault="000B4B6E" w:rsidP="000B4B6E">
      <w:pPr>
        <w:shd w:val="clear" w:color="auto" w:fill="FFFFFF"/>
        <w:spacing w:before="240" w:after="240"/>
        <w:outlineLvl w:val="1"/>
        <w:rPr>
          <w:rFonts w:ascii="Arial" w:eastAsia="Times New Roman" w:hAnsi="Arial" w:cs="Arial"/>
          <w:b/>
          <w:bCs/>
          <w:color w:val="212121"/>
          <w:sz w:val="32"/>
          <w:szCs w:val="32"/>
        </w:rPr>
      </w:pPr>
      <w:r w:rsidRPr="000B4B6E">
        <w:rPr>
          <w:rFonts w:ascii="Arial" w:eastAsia="Times New Roman" w:hAnsi="Arial" w:cs="Arial"/>
          <w:b/>
          <w:bCs/>
          <w:color w:val="212121"/>
          <w:sz w:val="32"/>
          <w:szCs w:val="32"/>
        </w:rPr>
        <w:t>All Citations</w:t>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rPr>
        <w:t>505 U.S. 42, 112 S.Ct. 2348, 120 L.Ed.2d 33, 60 USLW 4574</w:t>
      </w:r>
    </w:p>
    <w:p w:rsidR="000B4B6E" w:rsidRPr="000B4B6E" w:rsidRDefault="000B4B6E" w:rsidP="000B4B6E">
      <w:pPr>
        <w:rPr>
          <w:rFonts w:ascii="Times" w:eastAsia="Times New Roman" w:hAnsi="Times" w:cs="Times New Roman"/>
          <w:sz w:val="20"/>
          <w:szCs w:val="20"/>
        </w:rPr>
      </w:pPr>
      <w:r w:rsidRPr="000B4B6E">
        <w:rPr>
          <w:rFonts w:ascii="Arial" w:eastAsia="Times New Roman" w:hAnsi="Arial" w:cs="Arial"/>
          <w:color w:val="000000"/>
        </w:rPr>
        <w:br/>
      </w:r>
    </w:p>
    <w:p w:rsidR="000B4B6E" w:rsidRPr="000B4B6E" w:rsidRDefault="000B4B6E" w:rsidP="000B4B6E">
      <w:pPr>
        <w:shd w:val="clear" w:color="auto" w:fill="FFFFFF"/>
        <w:rPr>
          <w:rFonts w:ascii="Arial" w:eastAsia="Times New Roman" w:hAnsi="Arial" w:cs="Arial"/>
          <w:color w:val="000000"/>
        </w:rPr>
      </w:pPr>
      <w:r w:rsidRPr="000B4B6E">
        <w:rPr>
          <w:rFonts w:ascii="Arial" w:eastAsia="Times New Roman" w:hAnsi="Arial" w:cs="Arial"/>
          <w:color w:val="000000"/>
          <w:u w:val="single"/>
        </w:rPr>
        <w:t>Georgia v. McCollum</w:t>
      </w:r>
      <w:r w:rsidRPr="000B4B6E">
        <w:rPr>
          <w:rFonts w:ascii="Arial" w:eastAsia="Times New Roman" w:hAnsi="Arial" w:cs="Arial"/>
          <w:color w:val="000000"/>
        </w:rPr>
        <w:t>, 505 U.S. 42, 42–70, 112 S. Ct. 2348, 2348–65, 120 L. Ed. 2d 33 (1992)</w:t>
      </w:r>
    </w:p>
    <w:p w:rsidR="00FA2310" w:rsidRDefault="00FA2310">
      <w:bookmarkStart w:id="0" w:name="_GoBack"/>
      <w:bookmarkEnd w:id="0"/>
    </w:p>
    <w:sectPr w:rsidR="00FA2310" w:rsidSect="00FA23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B6E"/>
    <w:rsid w:val="000B4B6E"/>
    <w:rsid w:val="00FA23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0A063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B4B6E"/>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4B6E"/>
    <w:rPr>
      <w:rFonts w:ascii="Times" w:hAnsi="Times"/>
      <w:b/>
      <w:bCs/>
      <w:sz w:val="36"/>
      <w:szCs w:val="36"/>
    </w:rPr>
  </w:style>
  <w:style w:type="character" w:customStyle="1" w:styleId="coheadnoteheaderspan">
    <w:name w:val="co_headnoteheaderspan"/>
    <w:basedOn w:val="DefaultParagraphFont"/>
    <w:rsid w:val="000B4B6E"/>
  </w:style>
  <w:style w:type="character" w:customStyle="1" w:styleId="costarpage">
    <w:name w:val="co_starpage"/>
    <w:basedOn w:val="DefaultParagraphFont"/>
    <w:rsid w:val="000B4B6E"/>
  </w:style>
  <w:style w:type="character" w:styleId="Emphasis">
    <w:name w:val="Emphasis"/>
    <w:basedOn w:val="DefaultParagraphFont"/>
    <w:uiPriority w:val="20"/>
    <w:qFormat/>
    <w:rsid w:val="000B4B6E"/>
    <w:rPr>
      <w:i/>
      <w:iCs/>
    </w:rPr>
  </w:style>
  <w:style w:type="character" w:customStyle="1" w:styleId="cosmallcaps">
    <w:name w:val="co_smallcaps"/>
    <w:basedOn w:val="DefaultParagraphFont"/>
    <w:rsid w:val="000B4B6E"/>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0B4B6E"/>
    <w:pPr>
      <w:spacing w:before="100" w:beforeAutospacing="1" w:after="100" w:afterAutospacing="1"/>
      <w:outlineLvl w:val="1"/>
    </w:pPr>
    <w:rPr>
      <w:rFonts w:ascii="Times" w:hAnsi="Times"/>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B4B6E"/>
    <w:rPr>
      <w:rFonts w:ascii="Times" w:hAnsi="Times"/>
      <w:b/>
      <w:bCs/>
      <w:sz w:val="36"/>
      <w:szCs w:val="36"/>
    </w:rPr>
  </w:style>
  <w:style w:type="character" w:customStyle="1" w:styleId="coheadnoteheaderspan">
    <w:name w:val="co_headnoteheaderspan"/>
    <w:basedOn w:val="DefaultParagraphFont"/>
    <w:rsid w:val="000B4B6E"/>
  </w:style>
  <w:style w:type="character" w:customStyle="1" w:styleId="costarpage">
    <w:name w:val="co_starpage"/>
    <w:basedOn w:val="DefaultParagraphFont"/>
    <w:rsid w:val="000B4B6E"/>
  </w:style>
  <w:style w:type="character" w:styleId="Emphasis">
    <w:name w:val="Emphasis"/>
    <w:basedOn w:val="DefaultParagraphFont"/>
    <w:uiPriority w:val="20"/>
    <w:qFormat/>
    <w:rsid w:val="000B4B6E"/>
    <w:rPr>
      <w:i/>
      <w:iCs/>
    </w:rPr>
  </w:style>
  <w:style w:type="character" w:customStyle="1" w:styleId="cosmallcaps">
    <w:name w:val="co_smallcaps"/>
    <w:basedOn w:val="DefaultParagraphFont"/>
    <w:rsid w:val="000B4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894906">
      <w:bodyDiv w:val="1"/>
      <w:marLeft w:val="0"/>
      <w:marRight w:val="0"/>
      <w:marTop w:val="0"/>
      <w:marBottom w:val="0"/>
      <w:divBdr>
        <w:top w:val="none" w:sz="0" w:space="0" w:color="auto"/>
        <w:left w:val="none" w:sz="0" w:space="0" w:color="auto"/>
        <w:bottom w:val="none" w:sz="0" w:space="0" w:color="auto"/>
        <w:right w:val="none" w:sz="0" w:space="0" w:color="auto"/>
      </w:divBdr>
      <w:divsChild>
        <w:div w:id="340662506">
          <w:marLeft w:val="0"/>
          <w:marRight w:val="0"/>
          <w:marTop w:val="0"/>
          <w:marBottom w:val="0"/>
          <w:divBdr>
            <w:top w:val="none" w:sz="0" w:space="0" w:color="auto"/>
            <w:left w:val="none" w:sz="0" w:space="0" w:color="auto"/>
            <w:bottom w:val="none" w:sz="0" w:space="0" w:color="auto"/>
            <w:right w:val="none" w:sz="0" w:space="0" w:color="auto"/>
          </w:divBdr>
        </w:div>
        <w:div w:id="1188325360">
          <w:marLeft w:val="0"/>
          <w:marRight w:val="0"/>
          <w:marTop w:val="240"/>
          <w:marBottom w:val="240"/>
          <w:divBdr>
            <w:top w:val="none" w:sz="0" w:space="0" w:color="auto"/>
            <w:left w:val="none" w:sz="0" w:space="0" w:color="auto"/>
            <w:bottom w:val="none" w:sz="0" w:space="0" w:color="auto"/>
            <w:right w:val="none" w:sz="0" w:space="0" w:color="auto"/>
          </w:divBdr>
          <w:divsChild>
            <w:div w:id="614170284">
              <w:marLeft w:val="0"/>
              <w:marRight w:val="0"/>
              <w:marTop w:val="0"/>
              <w:marBottom w:val="0"/>
              <w:divBdr>
                <w:top w:val="none" w:sz="0" w:space="0" w:color="auto"/>
                <w:left w:val="none" w:sz="0" w:space="0" w:color="auto"/>
                <w:bottom w:val="none" w:sz="0" w:space="0" w:color="auto"/>
                <w:right w:val="none" w:sz="0" w:space="0" w:color="auto"/>
              </w:divBdr>
              <w:divsChild>
                <w:div w:id="1610317097">
                  <w:marLeft w:val="0"/>
                  <w:marRight w:val="0"/>
                  <w:marTop w:val="240"/>
                  <w:marBottom w:val="0"/>
                  <w:divBdr>
                    <w:top w:val="none" w:sz="0" w:space="0" w:color="auto"/>
                    <w:left w:val="none" w:sz="0" w:space="0" w:color="auto"/>
                    <w:bottom w:val="none" w:sz="0" w:space="0" w:color="auto"/>
                    <w:right w:val="none" w:sz="0" w:space="0" w:color="auto"/>
                  </w:divBdr>
                </w:div>
                <w:div w:id="903102256">
                  <w:marLeft w:val="0"/>
                  <w:marRight w:val="0"/>
                  <w:marTop w:val="0"/>
                  <w:marBottom w:val="0"/>
                  <w:divBdr>
                    <w:top w:val="none" w:sz="0" w:space="0" w:color="auto"/>
                    <w:left w:val="none" w:sz="0" w:space="0" w:color="auto"/>
                    <w:bottom w:val="none" w:sz="0" w:space="0" w:color="auto"/>
                    <w:right w:val="none" w:sz="0" w:space="0" w:color="auto"/>
                  </w:divBdr>
                </w:div>
                <w:div w:id="1070495960">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642344518">
          <w:marLeft w:val="0"/>
          <w:marRight w:val="0"/>
          <w:marTop w:val="0"/>
          <w:marBottom w:val="240"/>
          <w:divBdr>
            <w:top w:val="none" w:sz="0" w:space="0" w:color="auto"/>
            <w:left w:val="none" w:sz="0" w:space="0" w:color="auto"/>
            <w:bottom w:val="none" w:sz="0" w:space="0" w:color="auto"/>
            <w:right w:val="none" w:sz="0" w:space="0" w:color="auto"/>
          </w:divBdr>
          <w:divsChild>
            <w:div w:id="356539773">
              <w:marLeft w:val="0"/>
              <w:marRight w:val="0"/>
              <w:marTop w:val="0"/>
              <w:marBottom w:val="0"/>
              <w:divBdr>
                <w:top w:val="none" w:sz="0" w:space="0" w:color="auto"/>
                <w:left w:val="none" w:sz="0" w:space="0" w:color="auto"/>
                <w:bottom w:val="none" w:sz="0" w:space="0" w:color="auto"/>
                <w:right w:val="none" w:sz="0" w:space="0" w:color="auto"/>
              </w:divBdr>
            </w:div>
            <w:div w:id="583342593">
              <w:marLeft w:val="0"/>
              <w:marRight w:val="0"/>
              <w:marTop w:val="0"/>
              <w:marBottom w:val="0"/>
              <w:divBdr>
                <w:top w:val="none" w:sz="0" w:space="0" w:color="auto"/>
                <w:left w:val="none" w:sz="0" w:space="0" w:color="auto"/>
                <w:bottom w:val="none" w:sz="0" w:space="0" w:color="auto"/>
                <w:right w:val="none" w:sz="0" w:space="0" w:color="auto"/>
              </w:divBdr>
            </w:div>
          </w:divsChild>
        </w:div>
        <w:div w:id="1881168713">
          <w:marLeft w:val="0"/>
          <w:marRight w:val="0"/>
          <w:marTop w:val="240"/>
          <w:marBottom w:val="0"/>
          <w:divBdr>
            <w:top w:val="none" w:sz="0" w:space="0" w:color="auto"/>
            <w:left w:val="none" w:sz="0" w:space="0" w:color="auto"/>
            <w:bottom w:val="none" w:sz="0" w:space="0" w:color="auto"/>
            <w:right w:val="none" w:sz="0" w:space="0" w:color="auto"/>
          </w:divBdr>
          <w:divsChild>
            <w:div w:id="313028235">
              <w:marLeft w:val="0"/>
              <w:marRight w:val="0"/>
              <w:marTop w:val="0"/>
              <w:marBottom w:val="0"/>
              <w:divBdr>
                <w:top w:val="none" w:sz="0" w:space="0" w:color="auto"/>
                <w:left w:val="none" w:sz="0" w:space="0" w:color="auto"/>
                <w:bottom w:val="none" w:sz="0" w:space="0" w:color="auto"/>
                <w:right w:val="none" w:sz="0" w:space="0" w:color="auto"/>
              </w:divBdr>
              <w:divsChild>
                <w:div w:id="797837697">
                  <w:marLeft w:val="0"/>
                  <w:marRight w:val="0"/>
                  <w:marTop w:val="0"/>
                  <w:marBottom w:val="0"/>
                  <w:divBdr>
                    <w:top w:val="none" w:sz="0" w:space="0" w:color="auto"/>
                    <w:left w:val="none" w:sz="0" w:space="0" w:color="auto"/>
                    <w:bottom w:val="none" w:sz="0" w:space="0" w:color="auto"/>
                    <w:right w:val="none" w:sz="0" w:space="0" w:color="auto"/>
                  </w:divBdr>
                </w:div>
              </w:divsChild>
            </w:div>
            <w:div w:id="364256987">
              <w:marLeft w:val="0"/>
              <w:marRight w:val="0"/>
              <w:marTop w:val="240"/>
              <w:marBottom w:val="0"/>
              <w:divBdr>
                <w:top w:val="none" w:sz="0" w:space="0" w:color="auto"/>
                <w:left w:val="none" w:sz="0" w:space="0" w:color="auto"/>
                <w:bottom w:val="none" w:sz="0" w:space="0" w:color="auto"/>
                <w:right w:val="none" w:sz="0" w:space="0" w:color="auto"/>
              </w:divBdr>
              <w:divsChild>
                <w:div w:id="1662654696">
                  <w:marLeft w:val="0"/>
                  <w:marRight w:val="0"/>
                  <w:marTop w:val="0"/>
                  <w:marBottom w:val="0"/>
                  <w:divBdr>
                    <w:top w:val="none" w:sz="0" w:space="0" w:color="auto"/>
                    <w:left w:val="none" w:sz="0" w:space="0" w:color="auto"/>
                    <w:bottom w:val="none" w:sz="0" w:space="0" w:color="auto"/>
                    <w:right w:val="none" w:sz="0" w:space="0" w:color="auto"/>
                  </w:divBdr>
                </w:div>
              </w:divsChild>
            </w:div>
            <w:div w:id="1434401350">
              <w:marLeft w:val="0"/>
              <w:marRight w:val="0"/>
              <w:marTop w:val="240"/>
              <w:marBottom w:val="0"/>
              <w:divBdr>
                <w:top w:val="none" w:sz="0" w:space="0" w:color="auto"/>
                <w:left w:val="none" w:sz="0" w:space="0" w:color="auto"/>
                <w:bottom w:val="none" w:sz="0" w:space="0" w:color="auto"/>
                <w:right w:val="none" w:sz="0" w:space="0" w:color="auto"/>
              </w:divBdr>
              <w:divsChild>
                <w:div w:id="1215577241">
                  <w:marLeft w:val="0"/>
                  <w:marRight w:val="0"/>
                  <w:marTop w:val="0"/>
                  <w:marBottom w:val="0"/>
                  <w:divBdr>
                    <w:top w:val="none" w:sz="0" w:space="0" w:color="auto"/>
                    <w:left w:val="none" w:sz="0" w:space="0" w:color="auto"/>
                    <w:bottom w:val="none" w:sz="0" w:space="0" w:color="auto"/>
                    <w:right w:val="none" w:sz="0" w:space="0" w:color="auto"/>
                  </w:divBdr>
                </w:div>
              </w:divsChild>
            </w:div>
            <w:div w:id="423187580">
              <w:marLeft w:val="0"/>
              <w:marRight w:val="0"/>
              <w:marTop w:val="240"/>
              <w:marBottom w:val="0"/>
              <w:divBdr>
                <w:top w:val="none" w:sz="0" w:space="0" w:color="auto"/>
                <w:left w:val="none" w:sz="0" w:space="0" w:color="auto"/>
                <w:bottom w:val="none" w:sz="0" w:space="0" w:color="auto"/>
                <w:right w:val="none" w:sz="0" w:space="0" w:color="auto"/>
              </w:divBdr>
              <w:divsChild>
                <w:div w:id="944071057">
                  <w:marLeft w:val="0"/>
                  <w:marRight w:val="0"/>
                  <w:marTop w:val="0"/>
                  <w:marBottom w:val="0"/>
                  <w:divBdr>
                    <w:top w:val="none" w:sz="0" w:space="0" w:color="auto"/>
                    <w:left w:val="none" w:sz="0" w:space="0" w:color="auto"/>
                    <w:bottom w:val="none" w:sz="0" w:space="0" w:color="auto"/>
                    <w:right w:val="none" w:sz="0" w:space="0" w:color="auto"/>
                  </w:divBdr>
                </w:div>
              </w:divsChild>
            </w:div>
            <w:div w:id="1637563035">
              <w:marLeft w:val="0"/>
              <w:marRight w:val="0"/>
              <w:marTop w:val="240"/>
              <w:marBottom w:val="0"/>
              <w:divBdr>
                <w:top w:val="none" w:sz="0" w:space="0" w:color="auto"/>
                <w:left w:val="none" w:sz="0" w:space="0" w:color="auto"/>
                <w:bottom w:val="none" w:sz="0" w:space="0" w:color="auto"/>
                <w:right w:val="none" w:sz="0" w:space="0" w:color="auto"/>
              </w:divBdr>
              <w:divsChild>
                <w:div w:id="103503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8835674">
          <w:marLeft w:val="0"/>
          <w:marRight w:val="0"/>
          <w:marTop w:val="240"/>
          <w:marBottom w:val="240"/>
          <w:divBdr>
            <w:top w:val="none" w:sz="0" w:space="0" w:color="auto"/>
            <w:left w:val="none" w:sz="0" w:space="0" w:color="auto"/>
            <w:bottom w:val="none" w:sz="0" w:space="0" w:color="auto"/>
            <w:right w:val="none" w:sz="0" w:space="0" w:color="auto"/>
          </w:divBdr>
        </w:div>
        <w:div w:id="1748577864">
          <w:marLeft w:val="0"/>
          <w:marRight w:val="0"/>
          <w:marTop w:val="240"/>
          <w:marBottom w:val="0"/>
          <w:divBdr>
            <w:top w:val="none" w:sz="0" w:space="0" w:color="auto"/>
            <w:left w:val="none" w:sz="0" w:space="0" w:color="auto"/>
            <w:bottom w:val="none" w:sz="0" w:space="0" w:color="auto"/>
            <w:right w:val="none" w:sz="0" w:space="0" w:color="auto"/>
          </w:divBdr>
          <w:divsChild>
            <w:div w:id="1041593429">
              <w:marLeft w:val="0"/>
              <w:marRight w:val="0"/>
              <w:marTop w:val="240"/>
              <w:marBottom w:val="0"/>
              <w:divBdr>
                <w:top w:val="none" w:sz="0" w:space="0" w:color="auto"/>
                <w:left w:val="none" w:sz="0" w:space="0" w:color="auto"/>
                <w:bottom w:val="none" w:sz="0" w:space="0" w:color="auto"/>
                <w:right w:val="none" w:sz="0" w:space="0" w:color="auto"/>
              </w:divBdr>
            </w:div>
            <w:div w:id="1184900703">
              <w:marLeft w:val="0"/>
              <w:marRight w:val="0"/>
              <w:marTop w:val="0"/>
              <w:marBottom w:val="0"/>
              <w:divBdr>
                <w:top w:val="none" w:sz="0" w:space="0" w:color="auto"/>
                <w:left w:val="none" w:sz="0" w:space="0" w:color="auto"/>
                <w:bottom w:val="none" w:sz="0" w:space="0" w:color="auto"/>
                <w:right w:val="none" w:sz="0" w:space="0" w:color="auto"/>
              </w:divBdr>
              <w:divsChild>
                <w:div w:id="368995644">
                  <w:marLeft w:val="0"/>
                  <w:marRight w:val="0"/>
                  <w:marTop w:val="0"/>
                  <w:marBottom w:val="0"/>
                  <w:divBdr>
                    <w:top w:val="none" w:sz="0" w:space="0" w:color="auto"/>
                    <w:left w:val="none" w:sz="0" w:space="0" w:color="auto"/>
                    <w:bottom w:val="none" w:sz="0" w:space="0" w:color="auto"/>
                    <w:right w:val="none" w:sz="0" w:space="0" w:color="auto"/>
                  </w:divBdr>
                </w:div>
              </w:divsChild>
            </w:div>
            <w:div w:id="898201194">
              <w:marLeft w:val="0"/>
              <w:marRight w:val="0"/>
              <w:marTop w:val="240"/>
              <w:marBottom w:val="0"/>
              <w:divBdr>
                <w:top w:val="none" w:sz="0" w:space="0" w:color="auto"/>
                <w:left w:val="none" w:sz="0" w:space="0" w:color="auto"/>
                <w:bottom w:val="none" w:sz="0" w:space="0" w:color="auto"/>
                <w:right w:val="none" w:sz="0" w:space="0" w:color="auto"/>
              </w:divBdr>
              <w:divsChild>
                <w:div w:id="524178896">
                  <w:marLeft w:val="0"/>
                  <w:marRight w:val="0"/>
                  <w:marTop w:val="0"/>
                  <w:marBottom w:val="0"/>
                  <w:divBdr>
                    <w:top w:val="none" w:sz="0" w:space="0" w:color="auto"/>
                    <w:left w:val="none" w:sz="0" w:space="0" w:color="auto"/>
                    <w:bottom w:val="none" w:sz="0" w:space="0" w:color="auto"/>
                    <w:right w:val="none" w:sz="0" w:space="0" w:color="auto"/>
                  </w:divBdr>
                </w:div>
              </w:divsChild>
            </w:div>
            <w:div w:id="357389531">
              <w:marLeft w:val="0"/>
              <w:marRight w:val="0"/>
              <w:marTop w:val="240"/>
              <w:marBottom w:val="0"/>
              <w:divBdr>
                <w:top w:val="none" w:sz="0" w:space="0" w:color="auto"/>
                <w:left w:val="none" w:sz="0" w:space="0" w:color="auto"/>
                <w:bottom w:val="none" w:sz="0" w:space="0" w:color="auto"/>
                <w:right w:val="none" w:sz="0" w:space="0" w:color="auto"/>
              </w:divBdr>
              <w:divsChild>
                <w:div w:id="1667323320">
                  <w:marLeft w:val="0"/>
                  <w:marRight w:val="0"/>
                  <w:marTop w:val="0"/>
                  <w:marBottom w:val="0"/>
                  <w:divBdr>
                    <w:top w:val="none" w:sz="0" w:space="0" w:color="auto"/>
                    <w:left w:val="none" w:sz="0" w:space="0" w:color="auto"/>
                    <w:bottom w:val="none" w:sz="0" w:space="0" w:color="auto"/>
                    <w:right w:val="none" w:sz="0" w:space="0" w:color="auto"/>
                  </w:divBdr>
                </w:div>
              </w:divsChild>
            </w:div>
            <w:div w:id="1346904243">
              <w:marLeft w:val="0"/>
              <w:marRight w:val="0"/>
              <w:marTop w:val="240"/>
              <w:marBottom w:val="0"/>
              <w:divBdr>
                <w:top w:val="none" w:sz="0" w:space="0" w:color="auto"/>
                <w:left w:val="none" w:sz="0" w:space="0" w:color="auto"/>
                <w:bottom w:val="none" w:sz="0" w:space="0" w:color="auto"/>
                <w:right w:val="none" w:sz="0" w:space="0" w:color="auto"/>
              </w:divBdr>
              <w:divsChild>
                <w:div w:id="23794738">
                  <w:marLeft w:val="0"/>
                  <w:marRight w:val="0"/>
                  <w:marTop w:val="0"/>
                  <w:marBottom w:val="0"/>
                  <w:divBdr>
                    <w:top w:val="none" w:sz="0" w:space="0" w:color="auto"/>
                    <w:left w:val="none" w:sz="0" w:space="0" w:color="auto"/>
                    <w:bottom w:val="none" w:sz="0" w:space="0" w:color="auto"/>
                    <w:right w:val="none" w:sz="0" w:space="0" w:color="auto"/>
                  </w:divBdr>
                </w:div>
              </w:divsChild>
            </w:div>
            <w:div w:id="877813559">
              <w:marLeft w:val="0"/>
              <w:marRight w:val="0"/>
              <w:marTop w:val="240"/>
              <w:marBottom w:val="0"/>
              <w:divBdr>
                <w:top w:val="none" w:sz="0" w:space="0" w:color="auto"/>
                <w:left w:val="none" w:sz="0" w:space="0" w:color="auto"/>
                <w:bottom w:val="none" w:sz="0" w:space="0" w:color="auto"/>
                <w:right w:val="none" w:sz="0" w:space="0" w:color="auto"/>
              </w:divBdr>
              <w:divsChild>
                <w:div w:id="298339158">
                  <w:marLeft w:val="0"/>
                  <w:marRight w:val="0"/>
                  <w:marTop w:val="0"/>
                  <w:marBottom w:val="0"/>
                  <w:divBdr>
                    <w:top w:val="none" w:sz="0" w:space="0" w:color="auto"/>
                    <w:left w:val="none" w:sz="0" w:space="0" w:color="auto"/>
                    <w:bottom w:val="none" w:sz="0" w:space="0" w:color="auto"/>
                    <w:right w:val="none" w:sz="0" w:space="0" w:color="auto"/>
                  </w:divBdr>
                </w:div>
              </w:divsChild>
            </w:div>
            <w:div w:id="1092775977">
              <w:marLeft w:val="0"/>
              <w:marRight w:val="0"/>
              <w:marTop w:val="240"/>
              <w:marBottom w:val="0"/>
              <w:divBdr>
                <w:top w:val="none" w:sz="0" w:space="0" w:color="auto"/>
                <w:left w:val="none" w:sz="0" w:space="0" w:color="auto"/>
                <w:bottom w:val="none" w:sz="0" w:space="0" w:color="auto"/>
                <w:right w:val="none" w:sz="0" w:space="0" w:color="auto"/>
              </w:divBdr>
              <w:divsChild>
                <w:div w:id="1442605846">
                  <w:marLeft w:val="0"/>
                  <w:marRight w:val="0"/>
                  <w:marTop w:val="0"/>
                  <w:marBottom w:val="0"/>
                  <w:divBdr>
                    <w:top w:val="none" w:sz="0" w:space="0" w:color="auto"/>
                    <w:left w:val="none" w:sz="0" w:space="0" w:color="auto"/>
                    <w:bottom w:val="none" w:sz="0" w:space="0" w:color="auto"/>
                    <w:right w:val="none" w:sz="0" w:space="0" w:color="auto"/>
                  </w:divBdr>
                </w:div>
              </w:divsChild>
            </w:div>
            <w:div w:id="79451870">
              <w:marLeft w:val="0"/>
              <w:marRight w:val="0"/>
              <w:marTop w:val="240"/>
              <w:marBottom w:val="0"/>
              <w:divBdr>
                <w:top w:val="none" w:sz="0" w:space="0" w:color="auto"/>
                <w:left w:val="none" w:sz="0" w:space="0" w:color="auto"/>
                <w:bottom w:val="none" w:sz="0" w:space="0" w:color="auto"/>
                <w:right w:val="none" w:sz="0" w:space="0" w:color="auto"/>
              </w:divBdr>
              <w:divsChild>
                <w:div w:id="1804542034">
                  <w:marLeft w:val="0"/>
                  <w:marRight w:val="0"/>
                  <w:marTop w:val="0"/>
                  <w:marBottom w:val="0"/>
                  <w:divBdr>
                    <w:top w:val="none" w:sz="0" w:space="0" w:color="auto"/>
                    <w:left w:val="none" w:sz="0" w:space="0" w:color="auto"/>
                    <w:bottom w:val="none" w:sz="0" w:space="0" w:color="auto"/>
                    <w:right w:val="none" w:sz="0" w:space="0" w:color="auto"/>
                  </w:divBdr>
                </w:div>
              </w:divsChild>
            </w:div>
            <w:div w:id="22295688">
              <w:marLeft w:val="0"/>
              <w:marRight w:val="0"/>
              <w:marTop w:val="240"/>
              <w:marBottom w:val="0"/>
              <w:divBdr>
                <w:top w:val="none" w:sz="0" w:space="0" w:color="auto"/>
                <w:left w:val="none" w:sz="0" w:space="0" w:color="auto"/>
                <w:bottom w:val="none" w:sz="0" w:space="0" w:color="auto"/>
                <w:right w:val="none" w:sz="0" w:space="0" w:color="auto"/>
              </w:divBdr>
              <w:divsChild>
                <w:div w:id="483203104">
                  <w:marLeft w:val="0"/>
                  <w:marRight w:val="0"/>
                  <w:marTop w:val="0"/>
                  <w:marBottom w:val="0"/>
                  <w:divBdr>
                    <w:top w:val="none" w:sz="0" w:space="0" w:color="auto"/>
                    <w:left w:val="none" w:sz="0" w:space="0" w:color="auto"/>
                    <w:bottom w:val="none" w:sz="0" w:space="0" w:color="auto"/>
                    <w:right w:val="none" w:sz="0" w:space="0" w:color="auto"/>
                  </w:divBdr>
                </w:div>
              </w:divsChild>
            </w:div>
            <w:div w:id="913902182">
              <w:marLeft w:val="0"/>
              <w:marRight w:val="0"/>
              <w:marTop w:val="240"/>
              <w:marBottom w:val="0"/>
              <w:divBdr>
                <w:top w:val="none" w:sz="0" w:space="0" w:color="auto"/>
                <w:left w:val="none" w:sz="0" w:space="0" w:color="auto"/>
                <w:bottom w:val="none" w:sz="0" w:space="0" w:color="auto"/>
                <w:right w:val="none" w:sz="0" w:space="0" w:color="auto"/>
              </w:divBdr>
              <w:divsChild>
                <w:div w:id="1494447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2805204">
          <w:marLeft w:val="0"/>
          <w:marRight w:val="0"/>
          <w:marTop w:val="0"/>
          <w:marBottom w:val="0"/>
          <w:divBdr>
            <w:top w:val="none" w:sz="0" w:space="0" w:color="auto"/>
            <w:left w:val="none" w:sz="0" w:space="0" w:color="auto"/>
            <w:bottom w:val="none" w:sz="0" w:space="0" w:color="auto"/>
            <w:right w:val="none" w:sz="0" w:space="0" w:color="auto"/>
          </w:divBdr>
        </w:div>
        <w:div w:id="1660689572">
          <w:marLeft w:val="0"/>
          <w:marRight w:val="0"/>
          <w:marTop w:val="240"/>
          <w:marBottom w:val="0"/>
          <w:divBdr>
            <w:top w:val="none" w:sz="0" w:space="0" w:color="auto"/>
            <w:left w:val="none" w:sz="0" w:space="0" w:color="auto"/>
            <w:bottom w:val="none" w:sz="0" w:space="0" w:color="auto"/>
            <w:right w:val="none" w:sz="0" w:space="0" w:color="auto"/>
          </w:divBdr>
        </w:div>
        <w:div w:id="1255437441">
          <w:marLeft w:val="0"/>
          <w:marRight w:val="0"/>
          <w:marTop w:val="240"/>
          <w:marBottom w:val="0"/>
          <w:divBdr>
            <w:top w:val="none" w:sz="0" w:space="0" w:color="auto"/>
            <w:left w:val="none" w:sz="0" w:space="0" w:color="auto"/>
            <w:bottom w:val="none" w:sz="0" w:space="0" w:color="auto"/>
            <w:right w:val="none" w:sz="0" w:space="0" w:color="auto"/>
          </w:divBdr>
        </w:div>
        <w:div w:id="572005891">
          <w:marLeft w:val="0"/>
          <w:marRight w:val="0"/>
          <w:marTop w:val="240"/>
          <w:marBottom w:val="0"/>
          <w:divBdr>
            <w:top w:val="none" w:sz="0" w:space="0" w:color="auto"/>
            <w:left w:val="none" w:sz="0" w:space="0" w:color="auto"/>
            <w:bottom w:val="none" w:sz="0" w:space="0" w:color="auto"/>
            <w:right w:val="none" w:sz="0" w:space="0" w:color="auto"/>
          </w:divBdr>
        </w:div>
        <w:div w:id="1719820098">
          <w:marLeft w:val="0"/>
          <w:marRight w:val="0"/>
          <w:marTop w:val="240"/>
          <w:marBottom w:val="0"/>
          <w:divBdr>
            <w:top w:val="none" w:sz="0" w:space="0" w:color="auto"/>
            <w:left w:val="none" w:sz="0" w:space="0" w:color="auto"/>
            <w:bottom w:val="none" w:sz="0" w:space="0" w:color="auto"/>
            <w:right w:val="none" w:sz="0" w:space="0" w:color="auto"/>
          </w:divBdr>
        </w:div>
        <w:div w:id="379521141">
          <w:marLeft w:val="0"/>
          <w:marRight w:val="0"/>
          <w:marTop w:val="0"/>
          <w:marBottom w:val="0"/>
          <w:divBdr>
            <w:top w:val="none" w:sz="0" w:space="0" w:color="auto"/>
            <w:left w:val="none" w:sz="0" w:space="0" w:color="auto"/>
            <w:bottom w:val="none" w:sz="0" w:space="0" w:color="auto"/>
            <w:right w:val="none" w:sz="0" w:space="0" w:color="auto"/>
          </w:divBdr>
          <w:divsChild>
            <w:div w:id="1982151628">
              <w:marLeft w:val="0"/>
              <w:marRight w:val="0"/>
              <w:marTop w:val="0"/>
              <w:marBottom w:val="0"/>
              <w:divBdr>
                <w:top w:val="none" w:sz="0" w:space="0" w:color="auto"/>
                <w:left w:val="none" w:sz="0" w:space="0" w:color="auto"/>
                <w:bottom w:val="none" w:sz="0" w:space="0" w:color="auto"/>
                <w:right w:val="none" w:sz="0" w:space="0" w:color="auto"/>
              </w:divBdr>
              <w:divsChild>
                <w:div w:id="1713915701">
                  <w:marLeft w:val="0"/>
                  <w:marRight w:val="0"/>
                  <w:marTop w:val="0"/>
                  <w:marBottom w:val="0"/>
                  <w:divBdr>
                    <w:top w:val="none" w:sz="0" w:space="0" w:color="auto"/>
                    <w:left w:val="none" w:sz="0" w:space="0" w:color="auto"/>
                    <w:bottom w:val="none" w:sz="0" w:space="0" w:color="auto"/>
                    <w:right w:val="none" w:sz="0" w:space="0" w:color="auto"/>
                  </w:divBdr>
                  <w:divsChild>
                    <w:div w:id="232131901">
                      <w:marLeft w:val="0"/>
                      <w:marRight w:val="0"/>
                      <w:marTop w:val="240"/>
                      <w:marBottom w:val="240"/>
                      <w:divBdr>
                        <w:top w:val="none" w:sz="0" w:space="0" w:color="auto"/>
                        <w:left w:val="none" w:sz="0" w:space="0" w:color="auto"/>
                        <w:bottom w:val="none" w:sz="0" w:space="0" w:color="auto"/>
                        <w:right w:val="none" w:sz="0" w:space="0" w:color="auto"/>
                      </w:divBdr>
                    </w:div>
                  </w:divsChild>
                </w:div>
                <w:div w:id="414017439">
                  <w:marLeft w:val="0"/>
                  <w:marRight w:val="0"/>
                  <w:marTop w:val="0"/>
                  <w:marBottom w:val="0"/>
                  <w:divBdr>
                    <w:top w:val="none" w:sz="0" w:space="0" w:color="auto"/>
                    <w:left w:val="none" w:sz="0" w:space="0" w:color="auto"/>
                    <w:bottom w:val="none" w:sz="0" w:space="0" w:color="auto"/>
                    <w:right w:val="none" w:sz="0" w:space="0" w:color="auto"/>
                  </w:divBdr>
                  <w:divsChild>
                    <w:div w:id="1994215289">
                      <w:marLeft w:val="0"/>
                      <w:marRight w:val="0"/>
                      <w:marTop w:val="0"/>
                      <w:marBottom w:val="0"/>
                      <w:divBdr>
                        <w:top w:val="none" w:sz="0" w:space="0" w:color="auto"/>
                        <w:left w:val="none" w:sz="0" w:space="0" w:color="auto"/>
                        <w:bottom w:val="none" w:sz="0" w:space="0" w:color="auto"/>
                        <w:right w:val="none" w:sz="0" w:space="0" w:color="auto"/>
                      </w:divBdr>
                      <w:divsChild>
                        <w:div w:id="828713123">
                          <w:marLeft w:val="0"/>
                          <w:marRight w:val="0"/>
                          <w:marTop w:val="0"/>
                          <w:marBottom w:val="0"/>
                          <w:divBdr>
                            <w:top w:val="none" w:sz="0" w:space="0" w:color="auto"/>
                            <w:left w:val="none" w:sz="0" w:space="0" w:color="auto"/>
                            <w:bottom w:val="none" w:sz="0" w:space="0" w:color="auto"/>
                            <w:right w:val="none" w:sz="0" w:space="0" w:color="auto"/>
                          </w:divBdr>
                          <w:divsChild>
                            <w:div w:id="137804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52660">
                      <w:marLeft w:val="0"/>
                      <w:marRight w:val="0"/>
                      <w:marTop w:val="0"/>
                      <w:marBottom w:val="0"/>
                      <w:divBdr>
                        <w:top w:val="none" w:sz="0" w:space="0" w:color="auto"/>
                        <w:left w:val="none" w:sz="0" w:space="0" w:color="auto"/>
                        <w:bottom w:val="none" w:sz="0" w:space="0" w:color="auto"/>
                        <w:right w:val="none" w:sz="0" w:space="0" w:color="auto"/>
                      </w:divBdr>
                      <w:divsChild>
                        <w:div w:id="124085951">
                          <w:marLeft w:val="0"/>
                          <w:marRight w:val="0"/>
                          <w:marTop w:val="240"/>
                          <w:marBottom w:val="240"/>
                          <w:divBdr>
                            <w:top w:val="none" w:sz="0" w:space="0" w:color="auto"/>
                            <w:left w:val="none" w:sz="0" w:space="0" w:color="auto"/>
                            <w:bottom w:val="none" w:sz="0" w:space="0" w:color="auto"/>
                            <w:right w:val="none" w:sz="0" w:space="0" w:color="auto"/>
                          </w:divBdr>
                        </w:div>
                        <w:div w:id="1855225180">
                          <w:marLeft w:val="0"/>
                          <w:marRight w:val="0"/>
                          <w:marTop w:val="0"/>
                          <w:marBottom w:val="0"/>
                          <w:divBdr>
                            <w:top w:val="none" w:sz="0" w:space="0" w:color="auto"/>
                            <w:left w:val="none" w:sz="0" w:space="0" w:color="auto"/>
                            <w:bottom w:val="none" w:sz="0" w:space="0" w:color="auto"/>
                            <w:right w:val="none" w:sz="0" w:space="0" w:color="auto"/>
                          </w:divBdr>
                          <w:divsChild>
                            <w:div w:id="1684361088">
                              <w:marLeft w:val="0"/>
                              <w:marRight w:val="0"/>
                              <w:marTop w:val="0"/>
                              <w:marBottom w:val="0"/>
                              <w:divBdr>
                                <w:top w:val="none" w:sz="0" w:space="0" w:color="auto"/>
                                <w:left w:val="none" w:sz="0" w:space="0" w:color="auto"/>
                                <w:bottom w:val="none" w:sz="0" w:space="0" w:color="auto"/>
                                <w:right w:val="none" w:sz="0" w:space="0" w:color="auto"/>
                              </w:divBdr>
                            </w:div>
                          </w:divsChild>
                        </w:div>
                        <w:div w:id="1783109452">
                          <w:marLeft w:val="0"/>
                          <w:marRight w:val="0"/>
                          <w:marTop w:val="240"/>
                          <w:marBottom w:val="0"/>
                          <w:divBdr>
                            <w:top w:val="none" w:sz="0" w:space="0" w:color="auto"/>
                            <w:left w:val="none" w:sz="0" w:space="0" w:color="auto"/>
                            <w:bottom w:val="none" w:sz="0" w:space="0" w:color="auto"/>
                            <w:right w:val="none" w:sz="0" w:space="0" w:color="auto"/>
                          </w:divBdr>
                          <w:divsChild>
                            <w:div w:id="1418289338">
                              <w:marLeft w:val="0"/>
                              <w:marRight w:val="0"/>
                              <w:marTop w:val="0"/>
                              <w:marBottom w:val="0"/>
                              <w:divBdr>
                                <w:top w:val="none" w:sz="0" w:space="0" w:color="auto"/>
                                <w:left w:val="none" w:sz="0" w:space="0" w:color="auto"/>
                                <w:bottom w:val="none" w:sz="0" w:space="0" w:color="auto"/>
                                <w:right w:val="none" w:sz="0" w:space="0" w:color="auto"/>
                              </w:divBdr>
                            </w:div>
                          </w:divsChild>
                        </w:div>
                        <w:div w:id="78796265">
                          <w:marLeft w:val="0"/>
                          <w:marRight w:val="0"/>
                          <w:marTop w:val="240"/>
                          <w:marBottom w:val="0"/>
                          <w:divBdr>
                            <w:top w:val="none" w:sz="0" w:space="0" w:color="auto"/>
                            <w:left w:val="none" w:sz="0" w:space="0" w:color="auto"/>
                            <w:bottom w:val="none" w:sz="0" w:space="0" w:color="auto"/>
                            <w:right w:val="none" w:sz="0" w:space="0" w:color="auto"/>
                          </w:divBdr>
                          <w:divsChild>
                            <w:div w:id="1542205286">
                              <w:marLeft w:val="0"/>
                              <w:marRight w:val="0"/>
                              <w:marTop w:val="0"/>
                              <w:marBottom w:val="0"/>
                              <w:divBdr>
                                <w:top w:val="none" w:sz="0" w:space="0" w:color="auto"/>
                                <w:left w:val="none" w:sz="0" w:space="0" w:color="auto"/>
                                <w:bottom w:val="none" w:sz="0" w:space="0" w:color="auto"/>
                                <w:right w:val="none" w:sz="0" w:space="0" w:color="auto"/>
                              </w:divBdr>
                            </w:div>
                          </w:divsChild>
                        </w:div>
                        <w:div w:id="1967083336">
                          <w:marLeft w:val="0"/>
                          <w:marRight w:val="0"/>
                          <w:marTop w:val="240"/>
                          <w:marBottom w:val="0"/>
                          <w:divBdr>
                            <w:top w:val="none" w:sz="0" w:space="0" w:color="auto"/>
                            <w:left w:val="none" w:sz="0" w:space="0" w:color="auto"/>
                            <w:bottom w:val="none" w:sz="0" w:space="0" w:color="auto"/>
                            <w:right w:val="none" w:sz="0" w:space="0" w:color="auto"/>
                          </w:divBdr>
                          <w:divsChild>
                            <w:div w:id="1929846739">
                              <w:marLeft w:val="0"/>
                              <w:marRight w:val="0"/>
                              <w:marTop w:val="0"/>
                              <w:marBottom w:val="0"/>
                              <w:divBdr>
                                <w:top w:val="none" w:sz="0" w:space="0" w:color="auto"/>
                                <w:left w:val="none" w:sz="0" w:space="0" w:color="auto"/>
                                <w:bottom w:val="none" w:sz="0" w:space="0" w:color="auto"/>
                                <w:right w:val="none" w:sz="0" w:space="0" w:color="auto"/>
                              </w:divBdr>
                            </w:div>
                          </w:divsChild>
                        </w:div>
                        <w:div w:id="768626096">
                          <w:marLeft w:val="0"/>
                          <w:marRight w:val="0"/>
                          <w:marTop w:val="240"/>
                          <w:marBottom w:val="0"/>
                          <w:divBdr>
                            <w:top w:val="none" w:sz="0" w:space="0" w:color="auto"/>
                            <w:left w:val="none" w:sz="0" w:space="0" w:color="auto"/>
                            <w:bottom w:val="none" w:sz="0" w:space="0" w:color="auto"/>
                            <w:right w:val="none" w:sz="0" w:space="0" w:color="auto"/>
                          </w:divBdr>
                          <w:divsChild>
                            <w:div w:id="761995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432548">
                      <w:marLeft w:val="0"/>
                      <w:marRight w:val="0"/>
                      <w:marTop w:val="0"/>
                      <w:marBottom w:val="0"/>
                      <w:divBdr>
                        <w:top w:val="none" w:sz="0" w:space="0" w:color="auto"/>
                        <w:left w:val="none" w:sz="0" w:space="0" w:color="auto"/>
                        <w:bottom w:val="none" w:sz="0" w:space="0" w:color="auto"/>
                        <w:right w:val="none" w:sz="0" w:space="0" w:color="auto"/>
                      </w:divBdr>
                      <w:divsChild>
                        <w:div w:id="215897904">
                          <w:marLeft w:val="0"/>
                          <w:marRight w:val="0"/>
                          <w:marTop w:val="240"/>
                          <w:marBottom w:val="240"/>
                          <w:divBdr>
                            <w:top w:val="none" w:sz="0" w:space="0" w:color="auto"/>
                            <w:left w:val="none" w:sz="0" w:space="0" w:color="auto"/>
                            <w:bottom w:val="none" w:sz="0" w:space="0" w:color="auto"/>
                            <w:right w:val="none" w:sz="0" w:space="0" w:color="auto"/>
                          </w:divBdr>
                        </w:div>
                        <w:div w:id="829713411">
                          <w:marLeft w:val="0"/>
                          <w:marRight w:val="0"/>
                          <w:marTop w:val="0"/>
                          <w:marBottom w:val="0"/>
                          <w:divBdr>
                            <w:top w:val="none" w:sz="0" w:space="0" w:color="auto"/>
                            <w:left w:val="none" w:sz="0" w:space="0" w:color="auto"/>
                            <w:bottom w:val="none" w:sz="0" w:space="0" w:color="auto"/>
                            <w:right w:val="none" w:sz="0" w:space="0" w:color="auto"/>
                          </w:divBdr>
                          <w:divsChild>
                            <w:div w:id="1582257162">
                              <w:marLeft w:val="0"/>
                              <w:marRight w:val="0"/>
                              <w:marTop w:val="0"/>
                              <w:marBottom w:val="0"/>
                              <w:divBdr>
                                <w:top w:val="none" w:sz="0" w:space="0" w:color="auto"/>
                                <w:left w:val="none" w:sz="0" w:space="0" w:color="auto"/>
                                <w:bottom w:val="none" w:sz="0" w:space="0" w:color="auto"/>
                                <w:right w:val="none" w:sz="0" w:space="0" w:color="auto"/>
                              </w:divBdr>
                            </w:div>
                          </w:divsChild>
                        </w:div>
                        <w:div w:id="693774330">
                          <w:marLeft w:val="0"/>
                          <w:marRight w:val="0"/>
                          <w:marTop w:val="240"/>
                          <w:marBottom w:val="0"/>
                          <w:divBdr>
                            <w:top w:val="none" w:sz="0" w:space="0" w:color="auto"/>
                            <w:left w:val="none" w:sz="0" w:space="0" w:color="auto"/>
                            <w:bottom w:val="none" w:sz="0" w:space="0" w:color="auto"/>
                            <w:right w:val="none" w:sz="0" w:space="0" w:color="auto"/>
                          </w:divBdr>
                          <w:divsChild>
                            <w:div w:id="1201239933">
                              <w:marLeft w:val="0"/>
                              <w:marRight w:val="0"/>
                              <w:marTop w:val="0"/>
                              <w:marBottom w:val="0"/>
                              <w:divBdr>
                                <w:top w:val="none" w:sz="0" w:space="0" w:color="auto"/>
                                <w:left w:val="none" w:sz="0" w:space="0" w:color="auto"/>
                                <w:bottom w:val="none" w:sz="0" w:space="0" w:color="auto"/>
                                <w:right w:val="none" w:sz="0" w:space="0" w:color="auto"/>
                              </w:divBdr>
                            </w:div>
                          </w:divsChild>
                        </w:div>
                        <w:div w:id="2122677060">
                          <w:marLeft w:val="0"/>
                          <w:marRight w:val="0"/>
                          <w:marTop w:val="240"/>
                          <w:marBottom w:val="0"/>
                          <w:divBdr>
                            <w:top w:val="none" w:sz="0" w:space="0" w:color="auto"/>
                            <w:left w:val="none" w:sz="0" w:space="0" w:color="auto"/>
                            <w:bottom w:val="none" w:sz="0" w:space="0" w:color="auto"/>
                            <w:right w:val="none" w:sz="0" w:space="0" w:color="auto"/>
                          </w:divBdr>
                          <w:divsChild>
                            <w:div w:id="767772630">
                              <w:marLeft w:val="0"/>
                              <w:marRight w:val="0"/>
                              <w:marTop w:val="0"/>
                              <w:marBottom w:val="0"/>
                              <w:divBdr>
                                <w:top w:val="none" w:sz="0" w:space="0" w:color="auto"/>
                                <w:left w:val="none" w:sz="0" w:space="0" w:color="auto"/>
                                <w:bottom w:val="none" w:sz="0" w:space="0" w:color="auto"/>
                                <w:right w:val="none" w:sz="0" w:space="0" w:color="auto"/>
                              </w:divBdr>
                            </w:div>
                          </w:divsChild>
                        </w:div>
                        <w:div w:id="1346976273">
                          <w:marLeft w:val="0"/>
                          <w:marRight w:val="0"/>
                          <w:marTop w:val="240"/>
                          <w:marBottom w:val="0"/>
                          <w:divBdr>
                            <w:top w:val="none" w:sz="0" w:space="0" w:color="auto"/>
                            <w:left w:val="none" w:sz="0" w:space="0" w:color="auto"/>
                            <w:bottom w:val="none" w:sz="0" w:space="0" w:color="auto"/>
                            <w:right w:val="none" w:sz="0" w:space="0" w:color="auto"/>
                          </w:divBdr>
                          <w:divsChild>
                            <w:div w:id="458230306">
                              <w:marLeft w:val="0"/>
                              <w:marRight w:val="0"/>
                              <w:marTop w:val="0"/>
                              <w:marBottom w:val="0"/>
                              <w:divBdr>
                                <w:top w:val="none" w:sz="0" w:space="0" w:color="auto"/>
                                <w:left w:val="none" w:sz="0" w:space="0" w:color="auto"/>
                                <w:bottom w:val="none" w:sz="0" w:space="0" w:color="auto"/>
                                <w:right w:val="none" w:sz="0" w:space="0" w:color="auto"/>
                              </w:divBdr>
                            </w:div>
                          </w:divsChild>
                        </w:div>
                        <w:div w:id="734476942">
                          <w:marLeft w:val="0"/>
                          <w:marRight w:val="0"/>
                          <w:marTop w:val="240"/>
                          <w:marBottom w:val="0"/>
                          <w:divBdr>
                            <w:top w:val="none" w:sz="0" w:space="0" w:color="auto"/>
                            <w:left w:val="none" w:sz="0" w:space="0" w:color="auto"/>
                            <w:bottom w:val="none" w:sz="0" w:space="0" w:color="auto"/>
                            <w:right w:val="none" w:sz="0" w:space="0" w:color="auto"/>
                          </w:divBdr>
                          <w:divsChild>
                            <w:div w:id="123011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208196">
                      <w:marLeft w:val="0"/>
                      <w:marRight w:val="0"/>
                      <w:marTop w:val="0"/>
                      <w:marBottom w:val="0"/>
                      <w:divBdr>
                        <w:top w:val="none" w:sz="0" w:space="0" w:color="auto"/>
                        <w:left w:val="none" w:sz="0" w:space="0" w:color="auto"/>
                        <w:bottom w:val="none" w:sz="0" w:space="0" w:color="auto"/>
                        <w:right w:val="none" w:sz="0" w:space="0" w:color="auto"/>
                      </w:divBdr>
                      <w:divsChild>
                        <w:div w:id="91052990">
                          <w:marLeft w:val="0"/>
                          <w:marRight w:val="0"/>
                          <w:marTop w:val="240"/>
                          <w:marBottom w:val="240"/>
                          <w:divBdr>
                            <w:top w:val="none" w:sz="0" w:space="0" w:color="auto"/>
                            <w:left w:val="none" w:sz="0" w:space="0" w:color="auto"/>
                            <w:bottom w:val="none" w:sz="0" w:space="0" w:color="auto"/>
                            <w:right w:val="none" w:sz="0" w:space="0" w:color="auto"/>
                          </w:divBdr>
                        </w:div>
                        <w:div w:id="838271145">
                          <w:marLeft w:val="0"/>
                          <w:marRight w:val="0"/>
                          <w:marTop w:val="240"/>
                          <w:marBottom w:val="240"/>
                          <w:divBdr>
                            <w:top w:val="none" w:sz="0" w:space="0" w:color="auto"/>
                            <w:left w:val="none" w:sz="0" w:space="0" w:color="auto"/>
                            <w:bottom w:val="none" w:sz="0" w:space="0" w:color="auto"/>
                            <w:right w:val="none" w:sz="0" w:space="0" w:color="auto"/>
                          </w:divBdr>
                        </w:div>
                        <w:div w:id="533422914">
                          <w:marLeft w:val="0"/>
                          <w:marRight w:val="0"/>
                          <w:marTop w:val="0"/>
                          <w:marBottom w:val="0"/>
                          <w:divBdr>
                            <w:top w:val="none" w:sz="0" w:space="0" w:color="auto"/>
                            <w:left w:val="none" w:sz="0" w:space="0" w:color="auto"/>
                            <w:bottom w:val="none" w:sz="0" w:space="0" w:color="auto"/>
                            <w:right w:val="none" w:sz="0" w:space="0" w:color="auto"/>
                          </w:divBdr>
                          <w:divsChild>
                            <w:div w:id="1244410808">
                              <w:marLeft w:val="0"/>
                              <w:marRight w:val="0"/>
                              <w:marTop w:val="0"/>
                              <w:marBottom w:val="0"/>
                              <w:divBdr>
                                <w:top w:val="none" w:sz="0" w:space="0" w:color="auto"/>
                                <w:left w:val="none" w:sz="0" w:space="0" w:color="auto"/>
                                <w:bottom w:val="none" w:sz="0" w:space="0" w:color="auto"/>
                                <w:right w:val="none" w:sz="0" w:space="0" w:color="auto"/>
                              </w:divBdr>
                            </w:div>
                          </w:divsChild>
                        </w:div>
                        <w:div w:id="1209606003">
                          <w:marLeft w:val="0"/>
                          <w:marRight w:val="0"/>
                          <w:marTop w:val="240"/>
                          <w:marBottom w:val="0"/>
                          <w:divBdr>
                            <w:top w:val="none" w:sz="0" w:space="0" w:color="auto"/>
                            <w:left w:val="none" w:sz="0" w:space="0" w:color="auto"/>
                            <w:bottom w:val="none" w:sz="0" w:space="0" w:color="auto"/>
                            <w:right w:val="none" w:sz="0" w:space="0" w:color="auto"/>
                          </w:divBdr>
                          <w:divsChild>
                            <w:div w:id="182788574">
                              <w:marLeft w:val="0"/>
                              <w:marRight w:val="0"/>
                              <w:marTop w:val="0"/>
                              <w:marBottom w:val="0"/>
                              <w:divBdr>
                                <w:top w:val="none" w:sz="0" w:space="0" w:color="auto"/>
                                <w:left w:val="none" w:sz="0" w:space="0" w:color="auto"/>
                                <w:bottom w:val="none" w:sz="0" w:space="0" w:color="auto"/>
                                <w:right w:val="none" w:sz="0" w:space="0" w:color="auto"/>
                              </w:divBdr>
                            </w:div>
                          </w:divsChild>
                        </w:div>
                        <w:div w:id="638799699">
                          <w:marLeft w:val="0"/>
                          <w:marRight w:val="0"/>
                          <w:marTop w:val="240"/>
                          <w:marBottom w:val="0"/>
                          <w:divBdr>
                            <w:top w:val="none" w:sz="0" w:space="0" w:color="auto"/>
                            <w:left w:val="none" w:sz="0" w:space="0" w:color="auto"/>
                            <w:bottom w:val="none" w:sz="0" w:space="0" w:color="auto"/>
                            <w:right w:val="none" w:sz="0" w:space="0" w:color="auto"/>
                          </w:divBdr>
                          <w:divsChild>
                            <w:div w:id="396781873">
                              <w:marLeft w:val="0"/>
                              <w:marRight w:val="0"/>
                              <w:marTop w:val="0"/>
                              <w:marBottom w:val="0"/>
                              <w:divBdr>
                                <w:top w:val="none" w:sz="0" w:space="0" w:color="auto"/>
                                <w:left w:val="none" w:sz="0" w:space="0" w:color="auto"/>
                                <w:bottom w:val="none" w:sz="0" w:space="0" w:color="auto"/>
                                <w:right w:val="none" w:sz="0" w:space="0" w:color="auto"/>
                              </w:divBdr>
                            </w:div>
                          </w:divsChild>
                        </w:div>
                        <w:div w:id="1144544192">
                          <w:marLeft w:val="0"/>
                          <w:marRight w:val="0"/>
                          <w:marTop w:val="240"/>
                          <w:marBottom w:val="0"/>
                          <w:divBdr>
                            <w:top w:val="none" w:sz="0" w:space="0" w:color="auto"/>
                            <w:left w:val="none" w:sz="0" w:space="0" w:color="auto"/>
                            <w:bottom w:val="none" w:sz="0" w:space="0" w:color="auto"/>
                            <w:right w:val="none" w:sz="0" w:space="0" w:color="auto"/>
                          </w:divBdr>
                          <w:divsChild>
                            <w:div w:id="987200135">
                              <w:marLeft w:val="0"/>
                              <w:marRight w:val="0"/>
                              <w:marTop w:val="0"/>
                              <w:marBottom w:val="0"/>
                              <w:divBdr>
                                <w:top w:val="none" w:sz="0" w:space="0" w:color="auto"/>
                                <w:left w:val="none" w:sz="0" w:space="0" w:color="auto"/>
                                <w:bottom w:val="none" w:sz="0" w:space="0" w:color="auto"/>
                                <w:right w:val="none" w:sz="0" w:space="0" w:color="auto"/>
                              </w:divBdr>
                            </w:div>
                          </w:divsChild>
                        </w:div>
                        <w:div w:id="176626315">
                          <w:marLeft w:val="0"/>
                          <w:marRight w:val="0"/>
                          <w:marTop w:val="240"/>
                          <w:marBottom w:val="0"/>
                          <w:divBdr>
                            <w:top w:val="none" w:sz="0" w:space="0" w:color="auto"/>
                            <w:left w:val="none" w:sz="0" w:space="0" w:color="auto"/>
                            <w:bottom w:val="none" w:sz="0" w:space="0" w:color="auto"/>
                            <w:right w:val="none" w:sz="0" w:space="0" w:color="auto"/>
                          </w:divBdr>
                          <w:divsChild>
                            <w:div w:id="212095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481883">
                      <w:marLeft w:val="0"/>
                      <w:marRight w:val="0"/>
                      <w:marTop w:val="0"/>
                      <w:marBottom w:val="0"/>
                      <w:divBdr>
                        <w:top w:val="none" w:sz="0" w:space="0" w:color="auto"/>
                        <w:left w:val="none" w:sz="0" w:space="0" w:color="auto"/>
                        <w:bottom w:val="none" w:sz="0" w:space="0" w:color="auto"/>
                        <w:right w:val="none" w:sz="0" w:space="0" w:color="auto"/>
                      </w:divBdr>
                      <w:divsChild>
                        <w:div w:id="309138435">
                          <w:marLeft w:val="0"/>
                          <w:marRight w:val="0"/>
                          <w:marTop w:val="240"/>
                          <w:marBottom w:val="240"/>
                          <w:divBdr>
                            <w:top w:val="none" w:sz="0" w:space="0" w:color="auto"/>
                            <w:left w:val="none" w:sz="0" w:space="0" w:color="auto"/>
                            <w:bottom w:val="none" w:sz="0" w:space="0" w:color="auto"/>
                            <w:right w:val="none" w:sz="0" w:space="0" w:color="auto"/>
                          </w:divBdr>
                        </w:div>
                        <w:div w:id="102307939">
                          <w:marLeft w:val="0"/>
                          <w:marRight w:val="0"/>
                          <w:marTop w:val="0"/>
                          <w:marBottom w:val="0"/>
                          <w:divBdr>
                            <w:top w:val="none" w:sz="0" w:space="0" w:color="auto"/>
                            <w:left w:val="none" w:sz="0" w:space="0" w:color="auto"/>
                            <w:bottom w:val="none" w:sz="0" w:space="0" w:color="auto"/>
                            <w:right w:val="none" w:sz="0" w:space="0" w:color="auto"/>
                          </w:divBdr>
                          <w:divsChild>
                            <w:div w:id="1178272378">
                              <w:marLeft w:val="0"/>
                              <w:marRight w:val="0"/>
                              <w:marTop w:val="0"/>
                              <w:marBottom w:val="0"/>
                              <w:divBdr>
                                <w:top w:val="none" w:sz="0" w:space="0" w:color="auto"/>
                                <w:left w:val="none" w:sz="0" w:space="0" w:color="auto"/>
                                <w:bottom w:val="none" w:sz="0" w:space="0" w:color="auto"/>
                                <w:right w:val="none" w:sz="0" w:space="0" w:color="auto"/>
                              </w:divBdr>
                            </w:div>
                          </w:divsChild>
                        </w:div>
                        <w:div w:id="1672946572">
                          <w:marLeft w:val="0"/>
                          <w:marRight w:val="0"/>
                          <w:marTop w:val="240"/>
                          <w:marBottom w:val="0"/>
                          <w:divBdr>
                            <w:top w:val="none" w:sz="0" w:space="0" w:color="auto"/>
                            <w:left w:val="none" w:sz="0" w:space="0" w:color="auto"/>
                            <w:bottom w:val="none" w:sz="0" w:space="0" w:color="auto"/>
                            <w:right w:val="none" w:sz="0" w:space="0" w:color="auto"/>
                          </w:divBdr>
                          <w:divsChild>
                            <w:div w:id="599072726">
                              <w:marLeft w:val="0"/>
                              <w:marRight w:val="0"/>
                              <w:marTop w:val="0"/>
                              <w:marBottom w:val="0"/>
                              <w:divBdr>
                                <w:top w:val="none" w:sz="0" w:space="0" w:color="auto"/>
                                <w:left w:val="none" w:sz="0" w:space="0" w:color="auto"/>
                                <w:bottom w:val="none" w:sz="0" w:space="0" w:color="auto"/>
                                <w:right w:val="none" w:sz="0" w:space="0" w:color="auto"/>
                              </w:divBdr>
                            </w:div>
                          </w:divsChild>
                        </w:div>
                        <w:div w:id="1898929143">
                          <w:marLeft w:val="0"/>
                          <w:marRight w:val="0"/>
                          <w:marTop w:val="240"/>
                          <w:marBottom w:val="0"/>
                          <w:divBdr>
                            <w:top w:val="none" w:sz="0" w:space="0" w:color="auto"/>
                            <w:left w:val="none" w:sz="0" w:space="0" w:color="auto"/>
                            <w:bottom w:val="none" w:sz="0" w:space="0" w:color="auto"/>
                            <w:right w:val="none" w:sz="0" w:space="0" w:color="auto"/>
                          </w:divBdr>
                          <w:divsChild>
                            <w:div w:id="992683160">
                              <w:marLeft w:val="0"/>
                              <w:marRight w:val="0"/>
                              <w:marTop w:val="0"/>
                              <w:marBottom w:val="0"/>
                              <w:divBdr>
                                <w:top w:val="none" w:sz="0" w:space="0" w:color="auto"/>
                                <w:left w:val="none" w:sz="0" w:space="0" w:color="auto"/>
                                <w:bottom w:val="none" w:sz="0" w:space="0" w:color="auto"/>
                                <w:right w:val="none" w:sz="0" w:space="0" w:color="auto"/>
                              </w:divBdr>
                            </w:div>
                          </w:divsChild>
                        </w:div>
                        <w:div w:id="1290090924">
                          <w:marLeft w:val="0"/>
                          <w:marRight w:val="0"/>
                          <w:marTop w:val="240"/>
                          <w:marBottom w:val="0"/>
                          <w:divBdr>
                            <w:top w:val="none" w:sz="0" w:space="0" w:color="auto"/>
                            <w:left w:val="none" w:sz="0" w:space="0" w:color="auto"/>
                            <w:bottom w:val="none" w:sz="0" w:space="0" w:color="auto"/>
                            <w:right w:val="none" w:sz="0" w:space="0" w:color="auto"/>
                          </w:divBdr>
                          <w:divsChild>
                            <w:div w:id="1023094856">
                              <w:marLeft w:val="0"/>
                              <w:marRight w:val="0"/>
                              <w:marTop w:val="0"/>
                              <w:marBottom w:val="0"/>
                              <w:divBdr>
                                <w:top w:val="none" w:sz="0" w:space="0" w:color="auto"/>
                                <w:left w:val="none" w:sz="0" w:space="0" w:color="auto"/>
                                <w:bottom w:val="none" w:sz="0" w:space="0" w:color="auto"/>
                                <w:right w:val="none" w:sz="0" w:space="0" w:color="auto"/>
                              </w:divBdr>
                            </w:div>
                          </w:divsChild>
                        </w:div>
                        <w:div w:id="1492721606">
                          <w:marLeft w:val="0"/>
                          <w:marRight w:val="0"/>
                          <w:marTop w:val="240"/>
                          <w:marBottom w:val="0"/>
                          <w:divBdr>
                            <w:top w:val="none" w:sz="0" w:space="0" w:color="auto"/>
                            <w:left w:val="none" w:sz="0" w:space="0" w:color="auto"/>
                            <w:bottom w:val="none" w:sz="0" w:space="0" w:color="auto"/>
                            <w:right w:val="none" w:sz="0" w:space="0" w:color="auto"/>
                          </w:divBdr>
                          <w:divsChild>
                            <w:div w:id="414716368">
                              <w:marLeft w:val="0"/>
                              <w:marRight w:val="0"/>
                              <w:marTop w:val="0"/>
                              <w:marBottom w:val="0"/>
                              <w:divBdr>
                                <w:top w:val="none" w:sz="0" w:space="0" w:color="auto"/>
                                <w:left w:val="none" w:sz="0" w:space="0" w:color="auto"/>
                                <w:bottom w:val="none" w:sz="0" w:space="0" w:color="auto"/>
                                <w:right w:val="none" w:sz="0" w:space="0" w:color="auto"/>
                              </w:divBdr>
                            </w:div>
                          </w:divsChild>
                        </w:div>
                        <w:div w:id="73481726">
                          <w:marLeft w:val="0"/>
                          <w:marRight w:val="0"/>
                          <w:marTop w:val="240"/>
                          <w:marBottom w:val="0"/>
                          <w:divBdr>
                            <w:top w:val="none" w:sz="0" w:space="0" w:color="auto"/>
                            <w:left w:val="none" w:sz="0" w:space="0" w:color="auto"/>
                            <w:bottom w:val="none" w:sz="0" w:space="0" w:color="auto"/>
                            <w:right w:val="none" w:sz="0" w:space="0" w:color="auto"/>
                          </w:divBdr>
                          <w:divsChild>
                            <w:div w:id="1954172006">
                              <w:marLeft w:val="0"/>
                              <w:marRight w:val="0"/>
                              <w:marTop w:val="0"/>
                              <w:marBottom w:val="0"/>
                              <w:divBdr>
                                <w:top w:val="none" w:sz="0" w:space="0" w:color="auto"/>
                                <w:left w:val="none" w:sz="0" w:space="0" w:color="auto"/>
                                <w:bottom w:val="none" w:sz="0" w:space="0" w:color="auto"/>
                                <w:right w:val="none" w:sz="0" w:space="0" w:color="auto"/>
                              </w:divBdr>
                            </w:div>
                          </w:divsChild>
                        </w:div>
                        <w:div w:id="398792219">
                          <w:marLeft w:val="0"/>
                          <w:marRight w:val="0"/>
                          <w:marTop w:val="240"/>
                          <w:marBottom w:val="0"/>
                          <w:divBdr>
                            <w:top w:val="none" w:sz="0" w:space="0" w:color="auto"/>
                            <w:left w:val="none" w:sz="0" w:space="0" w:color="auto"/>
                            <w:bottom w:val="none" w:sz="0" w:space="0" w:color="auto"/>
                            <w:right w:val="none" w:sz="0" w:space="0" w:color="auto"/>
                          </w:divBdr>
                          <w:divsChild>
                            <w:div w:id="1529025511">
                              <w:marLeft w:val="0"/>
                              <w:marRight w:val="0"/>
                              <w:marTop w:val="0"/>
                              <w:marBottom w:val="0"/>
                              <w:divBdr>
                                <w:top w:val="none" w:sz="0" w:space="0" w:color="auto"/>
                                <w:left w:val="none" w:sz="0" w:space="0" w:color="auto"/>
                                <w:bottom w:val="none" w:sz="0" w:space="0" w:color="auto"/>
                                <w:right w:val="none" w:sz="0" w:space="0" w:color="auto"/>
                              </w:divBdr>
                            </w:div>
                          </w:divsChild>
                        </w:div>
                        <w:div w:id="1389454577">
                          <w:marLeft w:val="0"/>
                          <w:marRight w:val="0"/>
                          <w:marTop w:val="240"/>
                          <w:marBottom w:val="0"/>
                          <w:divBdr>
                            <w:top w:val="none" w:sz="0" w:space="0" w:color="auto"/>
                            <w:left w:val="none" w:sz="0" w:space="0" w:color="auto"/>
                            <w:bottom w:val="none" w:sz="0" w:space="0" w:color="auto"/>
                            <w:right w:val="none" w:sz="0" w:space="0" w:color="auto"/>
                          </w:divBdr>
                          <w:divsChild>
                            <w:div w:id="158468232">
                              <w:marLeft w:val="0"/>
                              <w:marRight w:val="0"/>
                              <w:marTop w:val="0"/>
                              <w:marBottom w:val="0"/>
                              <w:divBdr>
                                <w:top w:val="none" w:sz="0" w:space="0" w:color="auto"/>
                                <w:left w:val="none" w:sz="0" w:space="0" w:color="auto"/>
                                <w:bottom w:val="none" w:sz="0" w:space="0" w:color="auto"/>
                                <w:right w:val="none" w:sz="0" w:space="0" w:color="auto"/>
                              </w:divBdr>
                            </w:div>
                          </w:divsChild>
                        </w:div>
                        <w:div w:id="1850631405">
                          <w:marLeft w:val="0"/>
                          <w:marRight w:val="0"/>
                          <w:marTop w:val="240"/>
                          <w:marBottom w:val="0"/>
                          <w:divBdr>
                            <w:top w:val="none" w:sz="0" w:space="0" w:color="auto"/>
                            <w:left w:val="none" w:sz="0" w:space="0" w:color="auto"/>
                            <w:bottom w:val="none" w:sz="0" w:space="0" w:color="auto"/>
                            <w:right w:val="none" w:sz="0" w:space="0" w:color="auto"/>
                          </w:divBdr>
                          <w:divsChild>
                            <w:div w:id="623078210">
                              <w:marLeft w:val="0"/>
                              <w:marRight w:val="0"/>
                              <w:marTop w:val="0"/>
                              <w:marBottom w:val="0"/>
                              <w:divBdr>
                                <w:top w:val="none" w:sz="0" w:space="0" w:color="auto"/>
                                <w:left w:val="none" w:sz="0" w:space="0" w:color="auto"/>
                                <w:bottom w:val="none" w:sz="0" w:space="0" w:color="auto"/>
                                <w:right w:val="none" w:sz="0" w:space="0" w:color="auto"/>
                              </w:divBdr>
                            </w:div>
                          </w:divsChild>
                        </w:div>
                        <w:div w:id="421610851">
                          <w:marLeft w:val="0"/>
                          <w:marRight w:val="0"/>
                          <w:marTop w:val="240"/>
                          <w:marBottom w:val="0"/>
                          <w:divBdr>
                            <w:top w:val="none" w:sz="0" w:space="0" w:color="auto"/>
                            <w:left w:val="none" w:sz="0" w:space="0" w:color="auto"/>
                            <w:bottom w:val="none" w:sz="0" w:space="0" w:color="auto"/>
                            <w:right w:val="none" w:sz="0" w:space="0" w:color="auto"/>
                          </w:divBdr>
                          <w:divsChild>
                            <w:div w:id="1797795080">
                              <w:marLeft w:val="0"/>
                              <w:marRight w:val="0"/>
                              <w:marTop w:val="0"/>
                              <w:marBottom w:val="0"/>
                              <w:divBdr>
                                <w:top w:val="none" w:sz="0" w:space="0" w:color="auto"/>
                                <w:left w:val="none" w:sz="0" w:space="0" w:color="auto"/>
                                <w:bottom w:val="none" w:sz="0" w:space="0" w:color="auto"/>
                                <w:right w:val="none" w:sz="0" w:space="0" w:color="auto"/>
                              </w:divBdr>
                            </w:div>
                          </w:divsChild>
                        </w:div>
                        <w:div w:id="1662615130">
                          <w:marLeft w:val="0"/>
                          <w:marRight w:val="0"/>
                          <w:marTop w:val="240"/>
                          <w:marBottom w:val="0"/>
                          <w:divBdr>
                            <w:top w:val="none" w:sz="0" w:space="0" w:color="auto"/>
                            <w:left w:val="none" w:sz="0" w:space="0" w:color="auto"/>
                            <w:bottom w:val="none" w:sz="0" w:space="0" w:color="auto"/>
                            <w:right w:val="none" w:sz="0" w:space="0" w:color="auto"/>
                          </w:divBdr>
                          <w:divsChild>
                            <w:div w:id="1889099418">
                              <w:marLeft w:val="0"/>
                              <w:marRight w:val="0"/>
                              <w:marTop w:val="0"/>
                              <w:marBottom w:val="0"/>
                              <w:divBdr>
                                <w:top w:val="none" w:sz="0" w:space="0" w:color="auto"/>
                                <w:left w:val="none" w:sz="0" w:space="0" w:color="auto"/>
                                <w:bottom w:val="none" w:sz="0" w:space="0" w:color="auto"/>
                                <w:right w:val="none" w:sz="0" w:space="0" w:color="auto"/>
                              </w:divBdr>
                            </w:div>
                          </w:divsChild>
                        </w:div>
                        <w:div w:id="871500267">
                          <w:marLeft w:val="0"/>
                          <w:marRight w:val="0"/>
                          <w:marTop w:val="240"/>
                          <w:marBottom w:val="0"/>
                          <w:divBdr>
                            <w:top w:val="none" w:sz="0" w:space="0" w:color="auto"/>
                            <w:left w:val="none" w:sz="0" w:space="0" w:color="auto"/>
                            <w:bottom w:val="none" w:sz="0" w:space="0" w:color="auto"/>
                            <w:right w:val="none" w:sz="0" w:space="0" w:color="auto"/>
                          </w:divBdr>
                          <w:divsChild>
                            <w:div w:id="204590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065433">
                      <w:marLeft w:val="0"/>
                      <w:marRight w:val="0"/>
                      <w:marTop w:val="0"/>
                      <w:marBottom w:val="0"/>
                      <w:divBdr>
                        <w:top w:val="none" w:sz="0" w:space="0" w:color="auto"/>
                        <w:left w:val="none" w:sz="0" w:space="0" w:color="auto"/>
                        <w:bottom w:val="none" w:sz="0" w:space="0" w:color="auto"/>
                        <w:right w:val="none" w:sz="0" w:space="0" w:color="auto"/>
                      </w:divBdr>
                      <w:divsChild>
                        <w:div w:id="1433354965">
                          <w:marLeft w:val="0"/>
                          <w:marRight w:val="0"/>
                          <w:marTop w:val="240"/>
                          <w:marBottom w:val="240"/>
                          <w:divBdr>
                            <w:top w:val="none" w:sz="0" w:space="0" w:color="auto"/>
                            <w:left w:val="none" w:sz="0" w:space="0" w:color="auto"/>
                            <w:bottom w:val="none" w:sz="0" w:space="0" w:color="auto"/>
                            <w:right w:val="none" w:sz="0" w:space="0" w:color="auto"/>
                          </w:divBdr>
                        </w:div>
                        <w:div w:id="985235312">
                          <w:marLeft w:val="0"/>
                          <w:marRight w:val="0"/>
                          <w:marTop w:val="0"/>
                          <w:marBottom w:val="0"/>
                          <w:divBdr>
                            <w:top w:val="none" w:sz="0" w:space="0" w:color="auto"/>
                            <w:left w:val="none" w:sz="0" w:space="0" w:color="auto"/>
                            <w:bottom w:val="none" w:sz="0" w:space="0" w:color="auto"/>
                            <w:right w:val="none" w:sz="0" w:space="0" w:color="auto"/>
                          </w:divBdr>
                          <w:divsChild>
                            <w:div w:id="189875089">
                              <w:marLeft w:val="0"/>
                              <w:marRight w:val="0"/>
                              <w:marTop w:val="0"/>
                              <w:marBottom w:val="0"/>
                              <w:divBdr>
                                <w:top w:val="none" w:sz="0" w:space="0" w:color="auto"/>
                                <w:left w:val="none" w:sz="0" w:space="0" w:color="auto"/>
                                <w:bottom w:val="none" w:sz="0" w:space="0" w:color="auto"/>
                                <w:right w:val="none" w:sz="0" w:space="0" w:color="auto"/>
                              </w:divBdr>
                            </w:div>
                          </w:divsChild>
                        </w:div>
                        <w:div w:id="1660233083">
                          <w:marLeft w:val="0"/>
                          <w:marRight w:val="0"/>
                          <w:marTop w:val="240"/>
                          <w:marBottom w:val="0"/>
                          <w:divBdr>
                            <w:top w:val="none" w:sz="0" w:space="0" w:color="auto"/>
                            <w:left w:val="none" w:sz="0" w:space="0" w:color="auto"/>
                            <w:bottom w:val="none" w:sz="0" w:space="0" w:color="auto"/>
                            <w:right w:val="none" w:sz="0" w:space="0" w:color="auto"/>
                          </w:divBdr>
                          <w:divsChild>
                            <w:div w:id="347174746">
                              <w:marLeft w:val="0"/>
                              <w:marRight w:val="0"/>
                              <w:marTop w:val="0"/>
                              <w:marBottom w:val="0"/>
                              <w:divBdr>
                                <w:top w:val="none" w:sz="0" w:space="0" w:color="auto"/>
                                <w:left w:val="none" w:sz="0" w:space="0" w:color="auto"/>
                                <w:bottom w:val="none" w:sz="0" w:space="0" w:color="auto"/>
                                <w:right w:val="none" w:sz="0" w:space="0" w:color="auto"/>
                              </w:divBdr>
                            </w:div>
                          </w:divsChild>
                        </w:div>
                        <w:div w:id="516388927">
                          <w:marLeft w:val="0"/>
                          <w:marRight w:val="0"/>
                          <w:marTop w:val="240"/>
                          <w:marBottom w:val="0"/>
                          <w:divBdr>
                            <w:top w:val="none" w:sz="0" w:space="0" w:color="auto"/>
                            <w:left w:val="none" w:sz="0" w:space="0" w:color="auto"/>
                            <w:bottom w:val="none" w:sz="0" w:space="0" w:color="auto"/>
                            <w:right w:val="none" w:sz="0" w:space="0" w:color="auto"/>
                          </w:divBdr>
                          <w:divsChild>
                            <w:div w:id="1913812661">
                              <w:marLeft w:val="0"/>
                              <w:marRight w:val="0"/>
                              <w:marTop w:val="0"/>
                              <w:marBottom w:val="0"/>
                              <w:divBdr>
                                <w:top w:val="none" w:sz="0" w:space="0" w:color="auto"/>
                                <w:left w:val="none" w:sz="0" w:space="0" w:color="auto"/>
                                <w:bottom w:val="none" w:sz="0" w:space="0" w:color="auto"/>
                                <w:right w:val="none" w:sz="0" w:space="0" w:color="auto"/>
                              </w:divBdr>
                            </w:div>
                          </w:divsChild>
                        </w:div>
                        <w:div w:id="1306006929">
                          <w:marLeft w:val="0"/>
                          <w:marRight w:val="0"/>
                          <w:marTop w:val="240"/>
                          <w:marBottom w:val="0"/>
                          <w:divBdr>
                            <w:top w:val="none" w:sz="0" w:space="0" w:color="auto"/>
                            <w:left w:val="none" w:sz="0" w:space="0" w:color="auto"/>
                            <w:bottom w:val="none" w:sz="0" w:space="0" w:color="auto"/>
                            <w:right w:val="none" w:sz="0" w:space="0" w:color="auto"/>
                          </w:divBdr>
                          <w:divsChild>
                            <w:div w:id="1025061683">
                              <w:marLeft w:val="0"/>
                              <w:marRight w:val="0"/>
                              <w:marTop w:val="0"/>
                              <w:marBottom w:val="0"/>
                              <w:divBdr>
                                <w:top w:val="none" w:sz="0" w:space="0" w:color="auto"/>
                                <w:left w:val="none" w:sz="0" w:space="0" w:color="auto"/>
                                <w:bottom w:val="none" w:sz="0" w:space="0" w:color="auto"/>
                                <w:right w:val="none" w:sz="0" w:space="0" w:color="auto"/>
                              </w:divBdr>
                            </w:div>
                          </w:divsChild>
                        </w:div>
                        <w:div w:id="1588805235">
                          <w:marLeft w:val="0"/>
                          <w:marRight w:val="0"/>
                          <w:marTop w:val="240"/>
                          <w:marBottom w:val="0"/>
                          <w:divBdr>
                            <w:top w:val="none" w:sz="0" w:space="0" w:color="auto"/>
                            <w:left w:val="none" w:sz="0" w:space="0" w:color="auto"/>
                            <w:bottom w:val="none" w:sz="0" w:space="0" w:color="auto"/>
                            <w:right w:val="none" w:sz="0" w:space="0" w:color="auto"/>
                          </w:divBdr>
                          <w:divsChild>
                            <w:div w:id="154771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4960">
                      <w:marLeft w:val="0"/>
                      <w:marRight w:val="0"/>
                      <w:marTop w:val="0"/>
                      <w:marBottom w:val="0"/>
                      <w:divBdr>
                        <w:top w:val="none" w:sz="0" w:space="0" w:color="auto"/>
                        <w:left w:val="none" w:sz="0" w:space="0" w:color="auto"/>
                        <w:bottom w:val="none" w:sz="0" w:space="0" w:color="auto"/>
                        <w:right w:val="none" w:sz="0" w:space="0" w:color="auto"/>
                      </w:divBdr>
                      <w:divsChild>
                        <w:div w:id="364526085">
                          <w:marLeft w:val="0"/>
                          <w:marRight w:val="0"/>
                          <w:marTop w:val="240"/>
                          <w:marBottom w:val="240"/>
                          <w:divBdr>
                            <w:top w:val="none" w:sz="0" w:space="0" w:color="auto"/>
                            <w:left w:val="none" w:sz="0" w:space="0" w:color="auto"/>
                            <w:bottom w:val="none" w:sz="0" w:space="0" w:color="auto"/>
                            <w:right w:val="none" w:sz="0" w:space="0" w:color="auto"/>
                          </w:divBdr>
                        </w:div>
                        <w:div w:id="1159031885">
                          <w:marLeft w:val="0"/>
                          <w:marRight w:val="0"/>
                          <w:marTop w:val="0"/>
                          <w:marBottom w:val="0"/>
                          <w:divBdr>
                            <w:top w:val="none" w:sz="0" w:space="0" w:color="auto"/>
                            <w:left w:val="none" w:sz="0" w:space="0" w:color="auto"/>
                            <w:bottom w:val="none" w:sz="0" w:space="0" w:color="auto"/>
                            <w:right w:val="none" w:sz="0" w:space="0" w:color="auto"/>
                          </w:divBdr>
                          <w:divsChild>
                            <w:div w:id="1714303718">
                              <w:marLeft w:val="0"/>
                              <w:marRight w:val="0"/>
                              <w:marTop w:val="0"/>
                              <w:marBottom w:val="0"/>
                              <w:divBdr>
                                <w:top w:val="none" w:sz="0" w:space="0" w:color="auto"/>
                                <w:left w:val="none" w:sz="0" w:space="0" w:color="auto"/>
                                <w:bottom w:val="none" w:sz="0" w:space="0" w:color="auto"/>
                                <w:right w:val="none" w:sz="0" w:space="0" w:color="auto"/>
                              </w:divBdr>
                            </w:div>
                          </w:divsChild>
                        </w:div>
                        <w:div w:id="1125582878">
                          <w:marLeft w:val="0"/>
                          <w:marRight w:val="0"/>
                          <w:marTop w:val="240"/>
                          <w:marBottom w:val="0"/>
                          <w:divBdr>
                            <w:top w:val="none" w:sz="0" w:space="0" w:color="auto"/>
                            <w:left w:val="none" w:sz="0" w:space="0" w:color="auto"/>
                            <w:bottom w:val="none" w:sz="0" w:space="0" w:color="auto"/>
                            <w:right w:val="none" w:sz="0" w:space="0" w:color="auto"/>
                          </w:divBdr>
                          <w:divsChild>
                            <w:div w:id="1711607414">
                              <w:marLeft w:val="0"/>
                              <w:marRight w:val="0"/>
                              <w:marTop w:val="0"/>
                              <w:marBottom w:val="0"/>
                              <w:divBdr>
                                <w:top w:val="none" w:sz="0" w:space="0" w:color="auto"/>
                                <w:left w:val="none" w:sz="0" w:space="0" w:color="auto"/>
                                <w:bottom w:val="none" w:sz="0" w:space="0" w:color="auto"/>
                                <w:right w:val="none" w:sz="0" w:space="0" w:color="auto"/>
                              </w:divBdr>
                            </w:div>
                          </w:divsChild>
                        </w:div>
                        <w:div w:id="543444581">
                          <w:marLeft w:val="0"/>
                          <w:marRight w:val="0"/>
                          <w:marTop w:val="240"/>
                          <w:marBottom w:val="0"/>
                          <w:divBdr>
                            <w:top w:val="none" w:sz="0" w:space="0" w:color="auto"/>
                            <w:left w:val="none" w:sz="0" w:space="0" w:color="auto"/>
                            <w:bottom w:val="none" w:sz="0" w:space="0" w:color="auto"/>
                            <w:right w:val="none" w:sz="0" w:space="0" w:color="auto"/>
                          </w:divBdr>
                          <w:divsChild>
                            <w:div w:id="1843350974">
                              <w:marLeft w:val="0"/>
                              <w:marRight w:val="0"/>
                              <w:marTop w:val="0"/>
                              <w:marBottom w:val="0"/>
                              <w:divBdr>
                                <w:top w:val="none" w:sz="0" w:space="0" w:color="auto"/>
                                <w:left w:val="none" w:sz="0" w:space="0" w:color="auto"/>
                                <w:bottom w:val="none" w:sz="0" w:space="0" w:color="auto"/>
                                <w:right w:val="none" w:sz="0" w:space="0" w:color="auto"/>
                              </w:divBdr>
                            </w:div>
                          </w:divsChild>
                        </w:div>
                        <w:div w:id="1090079371">
                          <w:marLeft w:val="0"/>
                          <w:marRight w:val="0"/>
                          <w:marTop w:val="240"/>
                          <w:marBottom w:val="0"/>
                          <w:divBdr>
                            <w:top w:val="none" w:sz="0" w:space="0" w:color="auto"/>
                            <w:left w:val="none" w:sz="0" w:space="0" w:color="auto"/>
                            <w:bottom w:val="none" w:sz="0" w:space="0" w:color="auto"/>
                            <w:right w:val="none" w:sz="0" w:space="0" w:color="auto"/>
                          </w:divBdr>
                          <w:divsChild>
                            <w:div w:id="672608891">
                              <w:marLeft w:val="0"/>
                              <w:marRight w:val="0"/>
                              <w:marTop w:val="0"/>
                              <w:marBottom w:val="0"/>
                              <w:divBdr>
                                <w:top w:val="none" w:sz="0" w:space="0" w:color="auto"/>
                                <w:left w:val="none" w:sz="0" w:space="0" w:color="auto"/>
                                <w:bottom w:val="none" w:sz="0" w:space="0" w:color="auto"/>
                                <w:right w:val="none" w:sz="0" w:space="0" w:color="auto"/>
                              </w:divBdr>
                            </w:div>
                          </w:divsChild>
                        </w:div>
                        <w:div w:id="1446580589">
                          <w:marLeft w:val="0"/>
                          <w:marRight w:val="0"/>
                          <w:marTop w:val="240"/>
                          <w:marBottom w:val="0"/>
                          <w:divBdr>
                            <w:top w:val="none" w:sz="0" w:space="0" w:color="auto"/>
                            <w:left w:val="none" w:sz="0" w:space="0" w:color="auto"/>
                            <w:bottom w:val="none" w:sz="0" w:space="0" w:color="auto"/>
                            <w:right w:val="none" w:sz="0" w:space="0" w:color="auto"/>
                          </w:divBdr>
                          <w:divsChild>
                            <w:div w:id="1573003996">
                              <w:marLeft w:val="0"/>
                              <w:marRight w:val="0"/>
                              <w:marTop w:val="0"/>
                              <w:marBottom w:val="0"/>
                              <w:divBdr>
                                <w:top w:val="none" w:sz="0" w:space="0" w:color="auto"/>
                                <w:left w:val="none" w:sz="0" w:space="0" w:color="auto"/>
                                <w:bottom w:val="none" w:sz="0" w:space="0" w:color="auto"/>
                                <w:right w:val="none" w:sz="0" w:space="0" w:color="auto"/>
                              </w:divBdr>
                            </w:div>
                          </w:divsChild>
                        </w:div>
                        <w:div w:id="1483543413">
                          <w:marLeft w:val="0"/>
                          <w:marRight w:val="0"/>
                          <w:marTop w:val="240"/>
                          <w:marBottom w:val="0"/>
                          <w:divBdr>
                            <w:top w:val="none" w:sz="0" w:space="0" w:color="auto"/>
                            <w:left w:val="none" w:sz="0" w:space="0" w:color="auto"/>
                            <w:bottom w:val="none" w:sz="0" w:space="0" w:color="auto"/>
                            <w:right w:val="none" w:sz="0" w:space="0" w:color="auto"/>
                          </w:divBdr>
                          <w:divsChild>
                            <w:div w:id="339703859">
                              <w:marLeft w:val="0"/>
                              <w:marRight w:val="0"/>
                              <w:marTop w:val="0"/>
                              <w:marBottom w:val="0"/>
                              <w:divBdr>
                                <w:top w:val="none" w:sz="0" w:space="0" w:color="auto"/>
                                <w:left w:val="none" w:sz="0" w:space="0" w:color="auto"/>
                                <w:bottom w:val="none" w:sz="0" w:space="0" w:color="auto"/>
                                <w:right w:val="none" w:sz="0" w:space="0" w:color="auto"/>
                              </w:divBdr>
                            </w:div>
                          </w:divsChild>
                        </w:div>
                        <w:div w:id="109129910">
                          <w:marLeft w:val="0"/>
                          <w:marRight w:val="0"/>
                          <w:marTop w:val="240"/>
                          <w:marBottom w:val="0"/>
                          <w:divBdr>
                            <w:top w:val="none" w:sz="0" w:space="0" w:color="auto"/>
                            <w:left w:val="none" w:sz="0" w:space="0" w:color="auto"/>
                            <w:bottom w:val="none" w:sz="0" w:space="0" w:color="auto"/>
                            <w:right w:val="none" w:sz="0" w:space="0" w:color="auto"/>
                          </w:divBdr>
                          <w:divsChild>
                            <w:div w:id="209685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675434">
                      <w:marLeft w:val="0"/>
                      <w:marRight w:val="0"/>
                      <w:marTop w:val="0"/>
                      <w:marBottom w:val="0"/>
                      <w:divBdr>
                        <w:top w:val="none" w:sz="0" w:space="0" w:color="auto"/>
                        <w:left w:val="none" w:sz="0" w:space="0" w:color="auto"/>
                        <w:bottom w:val="none" w:sz="0" w:space="0" w:color="auto"/>
                        <w:right w:val="none" w:sz="0" w:space="0" w:color="auto"/>
                      </w:divBdr>
                      <w:divsChild>
                        <w:div w:id="217399502">
                          <w:marLeft w:val="0"/>
                          <w:marRight w:val="0"/>
                          <w:marTop w:val="240"/>
                          <w:marBottom w:val="240"/>
                          <w:divBdr>
                            <w:top w:val="none" w:sz="0" w:space="0" w:color="auto"/>
                            <w:left w:val="none" w:sz="0" w:space="0" w:color="auto"/>
                            <w:bottom w:val="none" w:sz="0" w:space="0" w:color="auto"/>
                            <w:right w:val="none" w:sz="0" w:space="0" w:color="auto"/>
                          </w:divBdr>
                        </w:div>
                        <w:div w:id="1824542260">
                          <w:marLeft w:val="0"/>
                          <w:marRight w:val="0"/>
                          <w:marTop w:val="0"/>
                          <w:marBottom w:val="0"/>
                          <w:divBdr>
                            <w:top w:val="none" w:sz="0" w:space="0" w:color="auto"/>
                            <w:left w:val="none" w:sz="0" w:space="0" w:color="auto"/>
                            <w:bottom w:val="none" w:sz="0" w:space="0" w:color="auto"/>
                            <w:right w:val="none" w:sz="0" w:space="0" w:color="auto"/>
                          </w:divBdr>
                          <w:divsChild>
                            <w:div w:id="990523732">
                              <w:marLeft w:val="0"/>
                              <w:marRight w:val="0"/>
                              <w:marTop w:val="0"/>
                              <w:marBottom w:val="0"/>
                              <w:divBdr>
                                <w:top w:val="none" w:sz="0" w:space="0" w:color="auto"/>
                                <w:left w:val="none" w:sz="0" w:space="0" w:color="auto"/>
                                <w:bottom w:val="none" w:sz="0" w:space="0" w:color="auto"/>
                                <w:right w:val="none" w:sz="0" w:space="0" w:color="auto"/>
                              </w:divBdr>
                            </w:div>
                          </w:divsChild>
                        </w:div>
                        <w:div w:id="378629848">
                          <w:marLeft w:val="0"/>
                          <w:marRight w:val="0"/>
                          <w:marTop w:val="240"/>
                          <w:marBottom w:val="0"/>
                          <w:divBdr>
                            <w:top w:val="none" w:sz="0" w:space="0" w:color="auto"/>
                            <w:left w:val="none" w:sz="0" w:space="0" w:color="auto"/>
                            <w:bottom w:val="none" w:sz="0" w:space="0" w:color="auto"/>
                            <w:right w:val="none" w:sz="0" w:space="0" w:color="auto"/>
                          </w:divBdr>
                          <w:divsChild>
                            <w:div w:id="118570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0193825">
          <w:marLeft w:val="0"/>
          <w:marRight w:val="0"/>
          <w:marTop w:val="0"/>
          <w:marBottom w:val="0"/>
          <w:divBdr>
            <w:top w:val="none" w:sz="0" w:space="0" w:color="auto"/>
            <w:left w:val="none" w:sz="0" w:space="0" w:color="auto"/>
            <w:bottom w:val="none" w:sz="0" w:space="0" w:color="auto"/>
            <w:right w:val="none" w:sz="0" w:space="0" w:color="auto"/>
          </w:divBdr>
          <w:divsChild>
            <w:div w:id="2096704891">
              <w:marLeft w:val="0"/>
              <w:marRight w:val="0"/>
              <w:marTop w:val="0"/>
              <w:marBottom w:val="0"/>
              <w:divBdr>
                <w:top w:val="none" w:sz="0" w:space="0" w:color="auto"/>
                <w:left w:val="none" w:sz="0" w:space="0" w:color="auto"/>
                <w:bottom w:val="none" w:sz="0" w:space="0" w:color="auto"/>
                <w:right w:val="none" w:sz="0" w:space="0" w:color="auto"/>
              </w:divBdr>
              <w:divsChild>
                <w:div w:id="190337365">
                  <w:marLeft w:val="0"/>
                  <w:marRight w:val="0"/>
                  <w:marTop w:val="240"/>
                  <w:marBottom w:val="0"/>
                  <w:divBdr>
                    <w:top w:val="none" w:sz="0" w:space="0" w:color="auto"/>
                    <w:left w:val="none" w:sz="0" w:space="0" w:color="auto"/>
                    <w:bottom w:val="none" w:sz="0" w:space="0" w:color="auto"/>
                    <w:right w:val="none" w:sz="0" w:space="0" w:color="auto"/>
                  </w:divBdr>
                  <w:divsChild>
                    <w:div w:id="84768807">
                      <w:marLeft w:val="0"/>
                      <w:marRight w:val="0"/>
                      <w:marTop w:val="0"/>
                      <w:marBottom w:val="0"/>
                      <w:divBdr>
                        <w:top w:val="none" w:sz="0" w:space="0" w:color="auto"/>
                        <w:left w:val="none" w:sz="0" w:space="0" w:color="auto"/>
                        <w:bottom w:val="none" w:sz="0" w:space="0" w:color="auto"/>
                        <w:right w:val="none" w:sz="0" w:space="0" w:color="auto"/>
                      </w:divBdr>
                    </w:div>
                  </w:divsChild>
                </w:div>
                <w:div w:id="1799646662">
                  <w:marLeft w:val="0"/>
                  <w:marRight w:val="0"/>
                  <w:marTop w:val="0"/>
                  <w:marBottom w:val="0"/>
                  <w:divBdr>
                    <w:top w:val="none" w:sz="0" w:space="0" w:color="auto"/>
                    <w:left w:val="none" w:sz="0" w:space="0" w:color="auto"/>
                    <w:bottom w:val="none" w:sz="0" w:space="0" w:color="auto"/>
                    <w:right w:val="none" w:sz="0" w:space="0" w:color="auto"/>
                  </w:divBdr>
                  <w:divsChild>
                    <w:div w:id="1585871106">
                      <w:marLeft w:val="0"/>
                      <w:marRight w:val="0"/>
                      <w:marTop w:val="0"/>
                      <w:marBottom w:val="0"/>
                      <w:divBdr>
                        <w:top w:val="none" w:sz="0" w:space="0" w:color="auto"/>
                        <w:left w:val="none" w:sz="0" w:space="0" w:color="auto"/>
                        <w:bottom w:val="none" w:sz="0" w:space="0" w:color="auto"/>
                        <w:right w:val="none" w:sz="0" w:space="0" w:color="auto"/>
                      </w:divBdr>
                      <w:divsChild>
                        <w:div w:id="1742289603">
                          <w:marLeft w:val="0"/>
                          <w:marRight w:val="0"/>
                          <w:marTop w:val="0"/>
                          <w:marBottom w:val="0"/>
                          <w:divBdr>
                            <w:top w:val="none" w:sz="0" w:space="0" w:color="auto"/>
                            <w:left w:val="none" w:sz="0" w:space="0" w:color="auto"/>
                            <w:bottom w:val="none" w:sz="0" w:space="0" w:color="auto"/>
                            <w:right w:val="none" w:sz="0" w:space="0" w:color="auto"/>
                          </w:divBdr>
                          <w:divsChild>
                            <w:div w:id="15117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502029">
          <w:marLeft w:val="0"/>
          <w:marRight w:val="0"/>
          <w:marTop w:val="0"/>
          <w:marBottom w:val="0"/>
          <w:divBdr>
            <w:top w:val="none" w:sz="0" w:space="0" w:color="auto"/>
            <w:left w:val="none" w:sz="0" w:space="0" w:color="auto"/>
            <w:bottom w:val="none" w:sz="0" w:space="0" w:color="auto"/>
            <w:right w:val="none" w:sz="0" w:space="0" w:color="auto"/>
          </w:divBdr>
          <w:divsChild>
            <w:div w:id="1045061522">
              <w:marLeft w:val="0"/>
              <w:marRight w:val="0"/>
              <w:marTop w:val="240"/>
              <w:marBottom w:val="0"/>
              <w:divBdr>
                <w:top w:val="none" w:sz="0" w:space="0" w:color="auto"/>
                <w:left w:val="none" w:sz="0" w:space="0" w:color="auto"/>
                <w:bottom w:val="none" w:sz="0" w:space="0" w:color="auto"/>
                <w:right w:val="none" w:sz="0" w:space="0" w:color="auto"/>
              </w:divBdr>
              <w:divsChild>
                <w:div w:id="1551769600">
                  <w:marLeft w:val="0"/>
                  <w:marRight w:val="0"/>
                  <w:marTop w:val="0"/>
                  <w:marBottom w:val="0"/>
                  <w:divBdr>
                    <w:top w:val="none" w:sz="0" w:space="0" w:color="auto"/>
                    <w:left w:val="none" w:sz="0" w:space="0" w:color="auto"/>
                    <w:bottom w:val="none" w:sz="0" w:space="0" w:color="auto"/>
                    <w:right w:val="none" w:sz="0" w:space="0" w:color="auto"/>
                  </w:divBdr>
                  <w:divsChild>
                    <w:div w:id="532033054">
                      <w:marLeft w:val="0"/>
                      <w:marRight w:val="0"/>
                      <w:marTop w:val="0"/>
                      <w:marBottom w:val="0"/>
                      <w:divBdr>
                        <w:top w:val="none" w:sz="0" w:space="0" w:color="auto"/>
                        <w:left w:val="none" w:sz="0" w:space="0" w:color="auto"/>
                        <w:bottom w:val="none" w:sz="0" w:space="0" w:color="auto"/>
                        <w:right w:val="none" w:sz="0" w:space="0" w:color="auto"/>
                      </w:divBdr>
                      <w:divsChild>
                        <w:div w:id="1621961076">
                          <w:marLeft w:val="0"/>
                          <w:marRight w:val="0"/>
                          <w:marTop w:val="0"/>
                          <w:marBottom w:val="0"/>
                          <w:divBdr>
                            <w:top w:val="none" w:sz="0" w:space="0" w:color="auto"/>
                            <w:left w:val="none" w:sz="0" w:space="0" w:color="auto"/>
                            <w:bottom w:val="none" w:sz="0" w:space="0" w:color="auto"/>
                            <w:right w:val="none" w:sz="0" w:space="0" w:color="auto"/>
                          </w:divBdr>
                          <w:divsChild>
                            <w:div w:id="1441991363">
                              <w:marLeft w:val="0"/>
                              <w:marRight w:val="0"/>
                              <w:marTop w:val="0"/>
                              <w:marBottom w:val="0"/>
                              <w:divBdr>
                                <w:top w:val="none" w:sz="0" w:space="0" w:color="auto"/>
                                <w:left w:val="none" w:sz="0" w:space="0" w:color="auto"/>
                                <w:bottom w:val="none" w:sz="0" w:space="0" w:color="auto"/>
                                <w:right w:val="none" w:sz="0" w:space="0" w:color="auto"/>
                              </w:divBdr>
                            </w:div>
                          </w:divsChild>
                        </w:div>
                        <w:div w:id="2131168986">
                          <w:marLeft w:val="0"/>
                          <w:marRight w:val="0"/>
                          <w:marTop w:val="240"/>
                          <w:marBottom w:val="0"/>
                          <w:divBdr>
                            <w:top w:val="none" w:sz="0" w:space="0" w:color="auto"/>
                            <w:left w:val="none" w:sz="0" w:space="0" w:color="auto"/>
                            <w:bottom w:val="none" w:sz="0" w:space="0" w:color="auto"/>
                            <w:right w:val="none" w:sz="0" w:space="0" w:color="auto"/>
                          </w:divBdr>
                          <w:divsChild>
                            <w:div w:id="1434395170">
                              <w:marLeft w:val="0"/>
                              <w:marRight w:val="0"/>
                              <w:marTop w:val="0"/>
                              <w:marBottom w:val="0"/>
                              <w:divBdr>
                                <w:top w:val="none" w:sz="0" w:space="0" w:color="auto"/>
                                <w:left w:val="none" w:sz="0" w:space="0" w:color="auto"/>
                                <w:bottom w:val="none" w:sz="0" w:space="0" w:color="auto"/>
                                <w:right w:val="none" w:sz="0" w:space="0" w:color="auto"/>
                              </w:divBdr>
                            </w:div>
                          </w:divsChild>
                        </w:div>
                        <w:div w:id="294485365">
                          <w:marLeft w:val="0"/>
                          <w:marRight w:val="0"/>
                          <w:marTop w:val="240"/>
                          <w:marBottom w:val="0"/>
                          <w:divBdr>
                            <w:top w:val="none" w:sz="0" w:space="0" w:color="auto"/>
                            <w:left w:val="none" w:sz="0" w:space="0" w:color="auto"/>
                            <w:bottom w:val="none" w:sz="0" w:space="0" w:color="auto"/>
                            <w:right w:val="none" w:sz="0" w:space="0" w:color="auto"/>
                          </w:divBdr>
                          <w:divsChild>
                            <w:div w:id="1437948354">
                              <w:marLeft w:val="0"/>
                              <w:marRight w:val="0"/>
                              <w:marTop w:val="0"/>
                              <w:marBottom w:val="0"/>
                              <w:divBdr>
                                <w:top w:val="none" w:sz="0" w:space="0" w:color="auto"/>
                                <w:left w:val="none" w:sz="0" w:space="0" w:color="auto"/>
                                <w:bottom w:val="none" w:sz="0" w:space="0" w:color="auto"/>
                                <w:right w:val="none" w:sz="0" w:space="0" w:color="auto"/>
                              </w:divBdr>
                            </w:div>
                          </w:divsChild>
                        </w:div>
                        <w:div w:id="1433206920">
                          <w:marLeft w:val="0"/>
                          <w:marRight w:val="0"/>
                          <w:marTop w:val="240"/>
                          <w:marBottom w:val="0"/>
                          <w:divBdr>
                            <w:top w:val="none" w:sz="0" w:space="0" w:color="auto"/>
                            <w:left w:val="none" w:sz="0" w:space="0" w:color="auto"/>
                            <w:bottom w:val="none" w:sz="0" w:space="0" w:color="auto"/>
                            <w:right w:val="none" w:sz="0" w:space="0" w:color="auto"/>
                          </w:divBdr>
                          <w:divsChild>
                            <w:div w:id="549615653">
                              <w:marLeft w:val="0"/>
                              <w:marRight w:val="0"/>
                              <w:marTop w:val="0"/>
                              <w:marBottom w:val="0"/>
                              <w:divBdr>
                                <w:top w:val="none" w:sz="0" w:space="0" w:color="auto"/>
                                <w:left w:val="none" w:sz="0" w:space="0" w:color="auto"/>
                                <w:bottom w:val="none" w:sz="0" w:space="0" w:color="auto"/>
                                <w:right w:val="none" w:sz="0" w:space="0" w:color="auto"/>
                              </w:divBdr>
                            </w:div>
                          </w:divsChild>
                        </w:div>
                        <w:div w:id="1039281282">
                          <w:marLeft w:val="0"/>
                          <w:marRight w:val="0"/>
                          <w:marTop w:val="240"/>
                          <w:marBottom w:val="0"/>
                          <w:divBdr>
                            <w:top w:val="none" w:sz="0" w:space="0" w:color="auto"/>
                            <w:left w:val="none" w:sz="0" w:space="0" w:color="auto"/>
                            <w:bottom w:val="none" w:sz="0" w:space="0" w:color="auto"/>
                            <w:right w:val="none" w:sz="0" w:space="0" w:color="auto"/>
                          </w:divBdr>
                          <w:divsChild>
                            <w:div w:id="1483154089">
                              <w:marLeft w:val="0"/>
                              <w:marRight w:val="0"/>
                              <w:marTop w:val="0"/>
                              <w:marBottom w:val="0"/>
                              <w:divBdr>
                                <w:top w:val="none" w:sz="0" w:space="0" w:color="auto"/>
                                <w:left w:val="none" w:sz="0" w:space="0" w:color="auto"/>
                                <w:bottom w:val="none" w:sz="0" w:space="0" w:color="auto"/>
                                <w:right w:val="none" w:sz="0" w:space="0" w:color="auto"/>
                              </w:divBdr>
                            </w:div>
                          </w:divsChild>
                        </w:div>
                        <w:div w:id="770012796">
                          <w:marLeft w:val="0"/>
                          <w:marRight w:val="0"/>
                          <w:marTop w:val="240"/>
                          <w:marBottom w:val="0"/>
                          <w:divBdr>
                            <w:top w:val="none" w:sz="0" w:space="0" w:color="auto"/>
                            <w:left w:val="none" w:sz="0" w:space="0" w:color="auto"/>
                            <w:bottom w:val="none" w:sz="0" w:space="0" w:color="auto"/>
                            <w:right w:val="none" w:sz="0" w:space="0" w:color="auto"/>
                          </w:divBdr>
                          <w:divsChild>
                            <w:div w:id="109858956">
                              <w:marLeft w:val="0"/>
                              <w:marRight w:val="0"/>
                              <w:marTop w:val="0"/>
                              <w:marBottom w:val="0"/>
                              <w:divBdr>
                                <w:top w:val="none" w:sz="0" w:space="0" w:color="auto"/>
                                <w:left w:val="none" w:sz="0" w:space="0" w:color="auto"/>
                                <w:bottom w:val="none" w:sz="0" w:space="0" w:color="auto"/>
                                <w:right w:val="none" w:sz="0" w:space="0" w:color="auto"/>
                              </w:divBdr>
                            </w:div>
                          </w:divsChild>
                        </w:div>
                        <w:div w:id="428965084">
                          <w:marLeft w:val="0"/>
                          <w:marRight w:val="0"/>
                          <w:marTop w:val="240"/>
                          <w:marBottom w:val="0"/>
                          <w:divBdr>
                            <w:top w:val="none" w:sz="0" w:space="0" w:color="auto"/>
                            <w:left w:val="none" w:sz="0" w:space="0" w:color="auto"/>
                            <w:bottom w:val="none" w:sz="0" w:space="0" w:color="auto"/>
                            <w:right w:val="none" w:sz="0" w:space="0" w:color="auto"/>
                          </w:divBdr>
                          <w:divsChild>
                            <w:div w:id="37358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751144">
          <w:marLeft w:val="0"/>
          <w:marRight w:val="0"/>
          <w:marTop w:val="0"/>
          <w:marBottom w:val="0"/>
          <w:divBdr>
            <w:top w:val="none" w:sz="0" w:space="0" w:color="auto"/>
            <w:left w:val="none" w:sz="0" w:space="0" w:color="auto"/>
            <w:bottom w:val="none" w:sz="0" w:space="0" w:color="auto"/>
            <w:right w:val="none" w:sz="0" w:space="0" w:color="auto"/>
          </w:divBdr>
          <w:divsChild>
            <w:div w:id="501242391">
              <w:marLeft w:val="0"/>
              <w:marRight w:val="0"/>
              <w:marTop w:val="240"/>
              <w:marBottom w:val="0"/>
              <w:divBdr>
                <w:top w:val="none" w:sz="0" w:space="0" w:color="auto"/>
                <w:left w:val="none" w:sz="0" w:space="0" w:color="auto"/>
                <w:bottom w:val="none" w:sz="0" w:space="0" w:color="auto"/>
                <w:right w:val="none" w:sz="0" w:space="0" w:color="auto"/>
              </w:divBdr>
              <w:divsChild>
                <w:div w:id="1901285761">
                  <w:marLeft w:val="0"/>
                  <w:marRight w:val="0"/>
                  <w:marTop w:val="240"/>
                  <w:marBottom w:val="0"/>
                  <w:divBdr>
                    <w:top w:val="none" w:sz="0" w:space="0" w:color="auto"/>
                    <w:left w:val="none" w:sz="0" w:space="0" w:color="auto"/>
                    <w:bottom w:val="none" w:sz="0" w:space="0" w:color="auto"/>
                    <w:right w:val="none" w:sz="0" w:space="0" w:color="auto"/>
                  </w:divBdr>
                  <w:divsChild>
                    <w:div w:id="765806493">
                      <w:marLeft w:val="0"/>
                      <w:marRight w:val="0"/>
                      <w:marTop w:val="0"/>
                      <w:marBottom w:val="0"/>
                      <w:divBdr>
                        <w:top w:val="none" w:sz="0" w:space="0" w:color="auto"/>
                        <w:left w:val="none" w:sz="0" w:space="0" w:color="auto"/>
                        <w:bottom w:val="none" w:sz="0" w:space="0" w:color="auto"/>
                        <w:right w:val="none" w:sz="0" w:space="0" w:color="auto"/>
                      </w:divBdr>
                    </w:div>
                  </w:divsChild>
                </w:div>
                <w:div w:id="1759784390">
                  <w:marLeft w:val="0"/>
                  <w:marRight w:val="0"/>
                  <w:marTop w:val="0"/>
                  <w:marBottom w:val="0"/>
                  <w:divBdr>
                    <w:top w:val="none" w:sz="0" w:space="0" w:color="auto"/>
                    <w:left w:val="none" w:sz="0" w:space="0" w:color="auto"/>
                    <w:bottom w:val="none" w:sz="0" w:space="0" w:color="auto"/>
                    <w:right w:val="none" w:sz="0" w:space="0" w:color="auto"/>
                  </w:divBdr>
                  <w:divsChild>
                    <w:div w:id="2017151727">
                      <w:marLeft w:val="0"/>
                      <w:marRight w:val="0"/>
                      <w:marTop w:val="0"/>
                      <w:marBottom w:val="0"/>
                      <w:divBdr>
                        <w:top w:val="none" w:sz="0" w:space="0" w:color="auto"/>
                        <w:left w:val="none" w:sz="0" w:space="0" w:color="auto"/>
                        <w:bottom w:val="none" w:sz="0" w:space="0" w:color="auto"/>
                        <w:right w:val="none" w:sz="0" w:space="0" w:color="auto"/>
                      </w:divBdr>
                      <w:divsChild>
                        <w:div w:id="1936405294">
                          <w:marLeft w:val="0"/>
                          <w:marRight w:val="0"/>
                          <w:marTop w:val="0"/>
                          <w:marBottom w:val="0"/>
                          <w:divBdr>
                            <w:top w:val="none" w:sz="0" w:space="0" w:color="auto"/>
                            <w:left w:val="none" w:sz="0" w:space="0" w:color="auto"/>
                            <w:bottom w:val="none" w:sz="0" w:space="0" w:color="auto"/>
                            <w:right w:val="none" w:sz="0" w:space="0" w:color="auto"/>
                          </w:divBdr>
                          <w:divsChild>
                            <w:div w:id="177111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473066">
                      <w:marLeft w:val="0"/>
                      <w:marRight w:val="0"/>
                      <w:marTop w:val="0"/>
                      <w:marBottom w:val="0"/>
                      <w:divBdr>
                        <w:top w:val="none" w:sz="0" w:space="0" w:color="auto"/>
                        <w:left w:val="none" w:sz="0" w:space="0" w:color="auto"/>
                        <w:bottom w:val="none" w:sz="0" w:space="0" w:color="auto"/>
                        <w:right w:val="none" w:sz="0" w:space="0" w:color="auto"/>
                      </w:divBdr>
                      <w:divsChild>
                        <w:div w:id="1574047524">
                          <w:marLeft w:val="0"/>
                          <w:marRight w:val="0"/>
                          <w:marTop w:val="240"/>
                          <w:marBottom w:val="240"/>
                          <w:divBdr>
                            <w:top w:val="none" w:sz="0" w:space="0" w:color="auto"/>
                            <w:left w:val="none" w:sz="0" w:space="0" w:color="auto"/>
                            <w:bottom w:val="none" w:sz="0" w:space="0" w:color="auto"/>
                            <w:right w:val="none" w:sz="0" w:space="0" w:color="auto"/>
                          </w:divBdr>
                        </w:div>
                        <w:div w:id="928004884">
                          <w:marLeft w:val="0"/>
                          <w:marRight w:val="0"/>
                          <w:marTop w:val="0"/>
                          <w:marBottom w:val="0"/>
                          <w:divBdr>
                            <w:top w:val="none" w:sz="0" w:space="0" w:color="auto"/>
                            <w:left w:val="none" w:sz="0" w:space="0" w:color="auto"/>
                            <w:bottom w:val="none" w:sz="0" w:space="0" w:color="auto"/>
                            <w:right w:val="none" w:sz="0" w:space="0" w:color="auto"/>
                          </w:divBdr>
                          <w:divsChild>
                            <w:div w:id="1490291694">
                              <w:marLeft w:val="0"/>
                              <w:marRight w:val="0"/>
                              <w:marTop w:val="0"/>
                              <w:marBottom w:val="0"/>
                              <w:divBdr>
                                <w:top w:val="none" w:sz="0" w:space="0" w:color="auto"/>
                                <w:left w:val="none" w:sz="0" w:space="0" w:color="auto"/>
                                <w:bottom w:val="none" w:sz="0" w:space="0" w:color="auto"/>
                                <w:right w:val="none" w:sz="0" w:space="0" w:color="auto"/>
                              </w:divBdr>
                            </w:div>
                          </w:divsChild>
                        </w:div>
                        <w:div w:id="596720200">
                          <w:marLeft w:val="0"/>
                          <w:marRight w:val="0"/>
                          <w:marTop w:val="240"/>
                          <w:marBottom w:val="0"/>
                          <w:divBdr>
                            <w:top w:val="none" w:sz="0" w:space="0" w:color="auto"/>
                            <w:left w:val="none" w:sz="0" w:space="0" w:color="auto"/>
                            <w:bottom w:val="none" w:sz="0" w:space="0" w:color="auto"/>
                            <w:right w:val="none" w:sz="0" w:space="0" w:color="auto"/>
                          </w:divBdr>
                          <w:divsChild>
                            <w:div w:id="126050558">
                              <w:marLeft w:val="0"/>
                              <w:marRight w:val="0"/>
                              <w:marTop w:val="0"/>
                              <w:marBottom w:val="0"/>
                              <w:divBdr>
                                <w:top w:val="none" w:sz="0" w:space="0" w:color="auto"/>
                                <w:left w:val="none" w:sz="0" w:space="0" w:color="auto"/>
                                <w:bottom w:val="none" w:sz="0" w:space="0" w:color="auto"/>
                                <w:right w:val="none" w:sz="0" w:space="0" w:color="auto"/>
                              </w:divBdr>
                            </w:div>
                          </w:divsChild>
                        </w:div>
                        <w:div w:id="1252660573">
                          <w:marLeft w:val="0"/>
                          <w:marRight w:val="0"/>
                          <w:marTop w:val="240"/>
                          <w:marBottom w:val="0"/>
                          <w:divBdr>
                            <w:top w:val="none" w:sz="0" w:space="0" w:color="auto"/>
                            <w:left w:val="none" w:sz="0" w:space="0" w:color="auto"/>
                            <w:bottom w:val="none" w:sz="0" w:space="0" w:color="auto"/>
                            <w:right w:val="none" w:sz="0" w:space="0" w:color="auto"/>
                          </w:divBdr>
                          <w:divsChild>
                            <w:div w:id="1701585127">
                              <w:marLeft w:val="0"/>
                              <w:marRight w:val="0"/>
                              <w:marTop w:val="0"/>
                              <w:marBottom w:val="0"/>
                              <w:divBdr>
                                <w:top w:val="none" w:sz="0" w:space="0" w:color="auto"/>
                                <w:left w:val="none" w:sz="0" w:space="0" w:color="auto"/>
                                <w:bottom w:val="none" w:sz="0" w:space="0" w:color="auto"/>
                                <w:right w:val="none" w:sz="0" w:space="0" w:color="auto"/>
                              </w:divBdr>
                            </w:div>
                          </w:divsChild>
                        </w:div>
                        <w:div w:id="182013007">
                          <w:marLeft w:val="0"/>
                          <w:marRight w:val="0"/>
                          <w:marTop w:val="240"/>
                          <w:marBottom w:val="0"/>
                          <w:divBdr>
                            <w:top w:val="none" w:sz="0" w:space="0" w:color="auto"/>
                            <w:left w:val="none" w:sz="0" w:space="0" w:color="auto"/>
                            <w:bottom w:val="none" w:sz="0" w:space="0" w:color="auto"/>
                            <w:right w:val="none" w:sz="0" w:space="0" w:color="auto"/>
                          </w:divBdr>
                          <w:divsChild>
                            <w:div w:id="627975768">
                              <w:marLeft w:val="0"/>
                              <w:marRight w:val="0"/>
                              <w:marTop w:val="0"/>
                              <w:marBottom w:val="0"/>
                              <w:divBdr>
                                <w:top w:val="none" w:sz="0" w:space="0" w:color="auto"/>
                                <w:left w:val="none" w:sz="0" w:space="0" w:color="auto"/>
                                <w:bottom w:val="none" w:sz="0" w:space="0" w:color="auto"/>
                                <w:right w:val="none" w:sz="0" w:space="0" w:color="auto"/>
                              </w:divBdr>
                            </w:div>
                          </w:divsChild>
                        </w:div>
                        <w:div w:id="1523661620">
                          <w:marLeft w:val="0"/>
                          <w:marRight w:val="0"/>
                          <w:marTop w:val="240"/>
                          <w:marBottom w:val="0"/>
                          <w:divBdr>
                            <w:top w:val="none" w:sz="0" w:space="0" w:color="auto"/>
                            <w:left w:val="none" w:sz="0" w:space="0" w:color="auto"/>
                            <w:bottom w:val="none" w:sz="0" w:space="0" w:color="auto"/>
                            <w:right w:val="none" w:sz="0" w:space="0" w:color="auto"/>
                          </w:divBdr>
                          <w:divsChild>
                            <w:div w:id="587663553">
                              <w:marLeft w:val="0"/>
                              <w:marRight w:val="0"/>
                              <w:marTop w:val="0"/>
                              <w:marBottom w:val="0"/>
                              <w:divBdr>
                                <w:top w:val="none" w:sz="0" w:space="0" w:color="auto"/>
                                <w:left w:val="none" w:sz="0" w:space="0" w:color="auto"/>
                                <w:bottom w:val="none" w:sz="0" w:space="0" w:color="auto"/>
                                <w:right w:val="none" w:sz="0" w:space="0" w:color="auto"/>
                              </w:divBdr>
                            </w:div>
                          </w:divsChild>
                        </w:div>
                        <w:div w:id="444079122">
                          <w:marLeft w:val="0"/>
                          <w:marRight w:val="0"/>
                          <w:marTop w:val="240"/>
                          <w:marBottom w:val="0"/>
                          <w:divBdr>
                            <w:top w:val="none" w:sz="0" w:space="0" w:color="auto"/>
                            <w:left w:val="none" w:sz="0" w:space="0" w:color="auto"/>
                            <w:bottom w:val="none" w:sz="0" w:space="0" w:color="auto"/>
                            <w:right w:val="none" w:sz="0" w:space="0" w:color="auto"/>
                          </w:divBdr>
                          <w:divsChild>
                            <w:div w:id="1458836502">
                              <w:marLeft w:val="0"/>
                              <w:marRight w:val="0"/>
                              <w:marTop w:val="0"/>
                              <w:marBottom w:val="0"/>
                              <w:divBdr>
                                <w:top w:val="none" w:sz="0" w:space="0" w:color="auto"/>
                                <w:left w:val="none" w:sz="0" w:space="0" w:color="auto"/>
                                <w:bottom w:val="none" w:sz="0" w:space="0" w:color="auto"/>
                                <w:right w:val="none" w:sz="0" w:space="0" w:color="auto"/>
                              </w:divBdr>
                            </w:div>
                          </w:divsChild>
                        </w:div>
                        <w:div w:id="1110778142">
                          <w:marLeft w:val="0"/>
                          <w:marRight w:val="0"/>
                          <w:marTop w:val="240"/>
                          <w:marBottom w:val="0"/>
                          <w:divBdr>
                            <w:top w:val="none" w:sz="0" w:space="0" w:color="auto"/>
                            <w:left w:val="none" w:sz="0" w:space="0" w:color="auto"/>
                            <w:bottom w:val="none" w:sz="0" w:space="0" w:color="auto"/>
                            <w:right w:val="none" w:sz="0" w:space="0" w:color="auto"/>
                          </w:divBdr>
                          <w:divsChild>
                            <w:div w:id="1806309830">
                              <w:marLeft w:val="0"/>
                              <w:marRight w:val="0"/>
                              <w:marTop w:val="0"/>
                              <w:marBottom w:val="0"/>
                              <w:divBdr>
                                <w:top w:val="none" w:sz="0" w:space="0" w:color="auto"/>
                                <w:left w:val="none" w:sz="0" w:space="0" w:color="auto"/>
                                <w:bottom w:val="none" w:sz="0" w:space="0" w:color="auto"/>
                                <w:right w:val="none" w:sz="0" w:space="0" w:color="auto"/>
                              </w:divBdr>
                            </w:div>
                          </w:divsChild>
                        </w:div>
                        <w:div w:id="1764447800">
                          <w:marLeft w:val="0"/>
                          <w:marRight w:val="0"/>
                          <w:marTop w:val="240"/>
                          <w:marBottom w:val="0"/>
                          <w:divBdr>
                            <w:top w:val="none" w:sz="0" w:space="0" w:color="auto"/>
                            <w:left w:val="none" w:sz="0" w:space="0" w:color="auto"/>
                            <w:bottom w:val="none" w:sz="0" w:space="0" w:color="auto"/>
                            <w:right w:val="none" w:sz="0" w:space="0" w:color="auto"/>
                          </w:divBdr>
                          <w:divsChild>
                            <w:div w:id="78453674">
                              <w:marLeft w:val="0"/>
                              <w:marRight w:val="0"/>
                              <w:marTop w:val="0"/>
                              <w:marBottom w:val="0"/>
                              <w:divBdr>
                                <w:top w:val="none" w:sz="0" w:space="0" w:color="auto"/>
                                <w:left w:val="none" w:sz="0" w:space="0" w:color="auto"/>
                                <w:bottom w:val="none" w:sz="0" w:space="0" w:color="auto"/>
                                <w:right w:val="none" w:sz="0" w:space="0" w:color="auto"/>
                              </w:divBdr>
                            </w:div>
                          </w:divsChild>
                        </w:div>
                        <w:div w:id="482115120">
                          <w:marLeft w:val="0"/>
                          <w:marRight w:val="0"/>
                          <w:marTop w:val="240"/>
                          <w:marBottom w:val="0"/>
                          <w:divBdr>
                            <w:top w:val="none" w:sz="0" w:space="0" w:color="auto"/>
                            <w:left w:val="none" w:sz="0" w:space="0" w:color="auto"/>
                            <w:bottom w:val="none" w:sz="0" w:space="0" w:color="auto"/>
                            <w:right w:val="none" w:sz="0" w:space="0" w:color="auto"/>
                          </w:divBdr>
                          <w:divsChild>
                            <w:div w:id="128938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866864">
                      <w:marLeft w:val="0"/>
                      <w:marRight w:val="0"/>
                      <w:marTop w:val="0"/>
                      <w:marBottom w:val="0"/>
                      <w:divBdr>
                        <w:top w:val="none" w:sz="0" w:space="0" w:color="auto"/>
                        <w:left w:val="none" w:sz="0" w:space="0" w:color="auto"/>
                        <w:bottom w:val="none" w:sz="0" w:space="0" w:color="auto"/>
                        <w:right w:val="none" w:sz="0" w:space="0" w:color="auto"/>
                      </w:divBdr>
                      <w:divsChild>
                        <w:div w:id="590510872">
                          <w:marLeft w:val="0"/>
                          <w:marRight w:val="0"/>
                          <w:marTop w:val="240"/>
                          <w:marBottom w:val="240"/>
                          <w:divBdr>
                            <w:top w:val="none" w:sz="0" w:space="0" w:color="auto"/>
                            <w:left w:val="none" w:sz="0" w:space="0" w:color="auto"/>
                            <w:bottom w:val="none" w:sz="0" w:space="0" w:color="auto"/>
                            <w:right w:val="none" w:sz="0" w:space="0" w:color="auto"/>
                          </w:divBdr>
                        </w:div>
                        <w:div w:id="1524977598">
                          <w:marLeft w:val="0"/>
                          <w:marRight w:val="0"/>
                          <w:marTop w:val="0"/>
                          <w:marBottom w:val="0"/>
                          <w:divBdr>
                            <w:top w:val="none" w:sz="0" w:space="0" w:color="auto"/>
                            <w:left w:val="none" w:sz="0" w:space="0" w:color="auto"/>
                            <w:bottom w:val="none" w:sz="0" w:space="0" w:color="auto"/>
                            <w:right w:val="none" w:sz="0" w:space="0" w:color="auto"/>
                          </w:divBdr>
                          <w:divsChild>
                            <w:div w:id="2134445833">
                              <w:marLeft w:val="0"/>
                              <w:marRight w:val="0"/>
                              <w:marTop w:val="0"/>
                              <w:marBottom w:val="0"/>
                              <w:divBdr>
                                <w:top w:val="none" w:sz="0" w:space="0" w:color="auto"/>
                                <w:left w:val="none" w:sz="0" w:space="0" w:color="auto"/>
                                <w:bottom w:val="none" w:sz="0" w:space="0" w:color="auto"/>
                                <w:right w:val="none" w:sz="0" w:space="0" w:color="auto"/>
                              </w:divBdr>
                            </w:div>
                          </w:divsChild>
                        </w:div>
                        <w:div w:id="54932642">
                          <w:marLeft w:val="0"/>
                          <w:marRight w:val="0"/>
                          <w:marTop w:val="240"/>
                          <w:marBottom w:val="0"/>
                          <w:divBdr>
                            <w:top w:val="none" w:sz="0" w:space="0" w:color="auto"/>
                            <w:left w:val="none" w:sz="0" w:space="0" w:color="auto"/>
                            <w:bottom w:val="none" w:sz="0" w:space="0" w:color="auto"/>
                            <w:right w:val="none" w:sz="0" w:space="0" w:color="auto"/>
                          </w:divBdr>
                          <w:divsChild>
                            <w:div w:id="1048840214">
                              <w:marLeft w:val="0"/>
                              <w:marRight w:val="0"/>
                              <w:marTop w:val="0"/>
                              <w:marBottom w:val="0"/>
                              <w:divBdr>
                                <w:top w:val="none" w:sz="0" w:space="0" w:color="auto"/>
                                <w:left w:val="none" w:sz="0" w:space="0" w:color="auto"/>
                                <w:bottom w:val="none" w:sz="0" w:space="0" w:color="auto"/>
                                <w:right w:val="none" w:sz="0" w:space="0" w:color="auto"/>
                              </w:divBdr>
                            </w:div>
                            <w:div w:id="981346241">
                              <w:marLeft w:val="0"/>
                              <w:marRight w:val="0"/>
                              <w:marTop w:val="240"/>
                              <w:marBottom w:val="0"/>
                              <w:divBdr>
                                <w:top w:val="none" w:sz="0" w:space="0" w:color="auto"/>
                                <w:left w:val="none" w:sz="0" w:space="0" w:color="auto"/>
                                <w:bottom w:val="none" w:sz="0" w:space="0" w:color="auto"/>
                                <w:right w:val="none" w:sz="0" w:space="0" w:color="auto"/>
                              </w:divBdr>
                              <w:divsChild>
                                <w:div w:id="1081679739">
                                  <w:marLeft w:val="0"/>
                                  <w:marRight w:val="0"/>
                                  <w:marTop w:val="0"/>
                                  <w:marBottom w:val="0"/>
                                  <w:divBdr>
                                    <w:top w:val="none" w:sz="0" w:space="0" w:color="auto"/>
                                    <w:left w:val="none" w:sz="0" w:space="0" w:color="auto"/>
                                    <w:bottom w:val="none" w:sz="0" w:space="0" w:color="auto"/>
                                    <w:right w:val="none" w:sz="0" w:space="0" w:color="auto"/>
                                  </w:divBdr>
                                </w:div>
                              </w:divsChild>
                            </w:div>
                            <w:div w:id="931280266">
                              <w:marLeft w:val="0"/>
                              <w:marRight w:val="0"/>
                              <w:marTop w:val="240"/>
                              <w:marBottom w:val="0"/>
                              <w:divBdr>
                                <w:top w:val="none" w:sz="0" w:space="0" w:color="auto"/>
                                <w:left w:val="none" w:sz="0" w:space="0" w:color="auto"/>
                                <w:bottom w:val="none" w:sz="0" w:space="0" w:color="auto"/>
                                <w:right w:val="none" w:sz="0" w:space="0" w:color="auto"/>
                              </w:divBdr>
                            </w:div>
                          </w:divsChild>
                        </w:div>
                        <w:div w:id="1532887528">
                          <w:marLeft w:val="0"/>
                          <w:marRight w:val="0"/>
                          <w:marTop w:val="240"/>
                          <w:marBottom w:val="0"/>
                          <w:divBdr>
                            <w:top w:val="none" w:sz="0" w:space="0" w:color="auto"/>
                            <w:left w:val="none" w:sz="0" w:space="0" w:color="auto"/>
                            <w:bottom w:val="none" w:sz="0" w:space="0" w:color="auto"/>
                            <w:right w:val="none" w:sz="0" w:space="0" w:color="auto"/>
                          </w:divBdr>
                          <w:divsChild>
                            <w:div w:id="79744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9124307">
              <w:marLeft w:val="0"/>
              <w:marRight w:val="0"/>
              <w:marTop w:val="240"/>
              <w:marBottom w:val="0"/>
              <w:divBdr>
                <w:top w:val="none" w:sz="0" w:space="0" w:color="auto"/>
                <w:left w:val="none" w:sz="0" w:space="0" w:color="auto"/>
                <w:bottom w:val="none" w:sz="0" w:space="0" w:color="auto"/>
                <w:right w:val="none" w:sz="0" w:space="0" w:color="auto"/>
              </w:divBdr>
              <w:divsChild>
                <w:div w:id="1385762258">
                  <w:marLeft w:val="0"/>
                  <w:marRight w:val="0"/>
                  <w:marTop w:val="240"/>
                  <w:marBottom w:val="0"/>
                  <w:divBdr>
                    <w:top w:val="none" w:sz="0" w:space="0" w:color="auto"/>
                    <w:left w:val="none" w:sz="0" w:space="0" w:color="auto"/>
                    <w:bottom w:val="none" w:sz="0" w:space="0" w:color="auto"/>
                    <w:right w:val="none" w:sz="0" w:space="0" w:color="auto"/>
                  </w:divBdr>
                  <w:divsChild>
                    <w:div w:id="999238541">
                      <w:marLeft w:val="0"/>
                      <w:marRight w:val="0"/>
                      <w:marTop w:val="0"/>
                      <w:marBottom w:val="0"/>
                      <w:divBdr>
                        <w:top w:val="none" w:sz="0" w:space="0" w:color="auto"/>
                        <w:left w:val="none" w:sz="0" w:space="0" w:color="auto"/>
                        <w:bottom w:val="none" w:sz="0" w:space="0" w:color="auto"/>
                        <w:right w:val="none" w:sz="0" w:space="0" w:color="auto"/>
                      </w:divBdr>
                    </w:div>
                  </w:divsChild>
                </w:div>
                <w:div w:id="1570267832">
                  <w:marLeft w:val="0"/>
                  <w:marRight w:val="0"/>
                  <w:marTop w:val="0"/>
                  <w:marBottom w:val="0"/>
                  <w:divBdr>
                    <w:top w:val="none" w:sz="0" w:space="0" w:color="auto"/>
                    <w:left w:val="none" w:sz="0" w:space="0" w:color="auto"/>
                    <w:bottom w:val="none" w:sz="0" w:space="0" w:color="auto"/>
                    <w:right w:val="none" w:sz="0" w:space="0" w:color="auto"/>
                  </w:divBdr>
                  <w:divsChild>
                    <w:div w:id="1510564149">
                      <w:marLeft w:val="0"/>
                      <w:marRight w:val="0"/>
                      <w:marTop w:val="0"/>
                      <w:marBottom w:val="0"/>
                      <w:divBdr>
                        <w:top w:val="none" w:sz="0" w:space="0" w:color="auto"/>
                        <w:left w:val="none" w:sz="0" w:space="0" w:color="auto"/>
                        <w:bottom w:val="none" w:sz="0" w:space="0" w:color="auto"/>
                        <w:right w:val="none" w:sz="0" w:space="0" w:color="auto"/>
                      </w:divBdr>
                      <w:divsChild>
                        <w:div w:id="832843552">
                          <w:marLeft w:val="0"/>
                          <w:marRight w:val="0"/>
                          <w:marTop w:val="0"/>
                          <w:marBottom w:val="0"/>
                          <w:divBdr>
                            <w:top w:val="none" w:sz="0" w:space="0" w:color="auto"/>
                            <w:left w:val="none" w:sz="0" w:space="0" w:color="auto"/>
                            <w:bottom w:val="none" w:sz="0" w:space="0" w:color="auto"/>
                            <w:right w:val="none" w:sz="0" w:space="0" w:color="auto"/>
                          </w:divBdr>
                          <w:divsChild>
                            <w:div w:id="965745430">
                              <w:marLeft w:val="0"/>
                              <w:marRight w:val="0"/>
                              <w:marTop w:val="0"/>
                              <w:marBottom w:val="0"/>
                              <w:divBdr>
                                <w:top w:val="none" w:sz="0" w:space="0" w:color="auto"/>
                                <w:left w:val="none" w:sz="0" w:space="0" w:color="auto"/>
                                <w:bottom w:val="none" w:sz="0" w:space="0" w:color="auto"/>
                                <w:right w:val="none" w:sz="0" w:space="0" w:color="auto"/>
                              </w:divBdr>
                            </w:div>
                          </w:divsChild>
                        </w:div>
                        <w:div w:id="2030258677">
                          <w:marLeft w:val="0"/>
                          <w:marRight w:val="0"/>
                          <w:marTop w:val="240"/>
                          <w:marBottom w:val="0"/>
                          <w:divBdr>
                            <w:top w:val="none" w:sz="0" w:space="0" w:color="auto"/>
                            <w:left w:val="none" w:sz="0" w:space="0" w:color="auto"/>
                            <w:bottom w:val="none" w:sz="0" w:space="0" w:color="auto"/>
                            <w:right w:val="none" w:sz="0" w:space="0" w:color="auto"/>
                          </w:divBdr>
                          <w:divsChild>
                            <w:div w:id="211709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8673</Words>
  <Characters>49437</Characters>
  <Application>Microsoft Macintosh Word</Application>
  <DocSecurity>0</DocSecurity>
  <Lines>411</Lines>
  <Paragraphs>115</Paragraphs>
  <ScaleCrop>false</ScaleCrop>
  <Company/>
  <LinksUpToDate>false</LinksUpToDate>
  <CharactersWithSpaces>57995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Kumael</dc:creator>
  <cp:keywords/>
  <dc:description/>
  <cp:lastModifiedBy>Kumael</cp:lastModifiedBy>
  <cp:revision>1</cp:revision>
  <dcterms:created xsi:type="dcterms:W3CDTF">2018-02-08T13:16:00Z</dcterms:created>
  <dcterms:modified xsi:type="dcterms:W3CDTF">2018-02-08T13:17:00Z</dcterms:modified>
</cp:coreProperties>
</file>